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4433A" w14:textId="6BC5998B" w:rsidR="00EC7302" w:rsidRPr="004B3F3C" w:rsidRDefault="00C43BE7" w:rsidP="00C43BE7">
      <w:pPr>
        <w:pStyle w:val="Heading1"/>
        <w:spacing w:line="360" w:lineRule="auto"/>
        <w:contextualSpacing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            </w:t>
      </w:r>
      <w:bookmarkStart w:id="0" w:name="_GoBack"/>
      <w:bookmarkEnd w:id="0"/>
      <w:r w:rsidR="00EC7302" w:rsidRPr="004B3F3C">
        <w:rPr>
          <w:rFonts w:asciiTheme="minorHAnsi" w:hAnsiTheme="minorHAnsi"/>
          <w:b w:val="0"/>
          <w:color w:val="auto"/>
        </w:rPr>
        <w:t>Young People and Energy Drink Consumption</w:t>
      </w:r>
      <w:r w:rsidR="007D2313">
        <w:rPr>
          <w:rFonts w:asciiTheme="minorHAnsi" w:hAnsiTheme="minorHAnsi"/>
          <w:b w:val="0"/>
          <w:color w:val="auto"/>
        </w:rPr>
        <w:t xml:space="preserve"> in England</w:t>
      </w:r>
    </w:p>
    <w:p w14:paraId="776DBDB2" w14:textId="77777777" w:rsidR="004B3F3C" w:rsidRPr="004B3F3C" w:rsidRDefault="004B3F3C" w:rsidP="004B3F3C">
      <w:pPr>
        <w:spacing w:line="360" w:lineRule="auto"/>
        <w:contextualSpacing/>
        <w:rPr>
          <w:sz w:val="24"/>
          <w:szCs w:val="24"/>
        </w:rPr>
      </w:pPr>
    </w:p>
    <w:p w14:paraId="2D04F0CB" w14:textId="35661CAF" w:rsidR="00B01A78" w:rsidRPr="004B3F3C" w:rsidRDefault="00930726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t xml:space="preserve">Findings </w:t>
      </w:r>
      <w:r w:rsidR="004B3F3C" w:rsidRPr="004B3F3C">
        <w:rPr>
          <w:sz w:val="24"/>
          <w:szCs w:val="24"/>
        </w:rPr>
        <w:t>f</w:t>
      </w:r>
      <w:r w:rsidRPr="004B3F3C">
        <w:rPr>
          <w:sz w:val="24"/>
          <w:szCs w:val="24"/>
        </w:rPr>
        <w:t xml:space="preserve">rom </w:t>
      </w:r>
      <w:r w:rsidR="004B3F3C" w:rsidRPr="004B3F3C">
        <w:rPr>
          <w:sz w:val="24"/>
          <w:szCs w:val="24"/>
        </w:rPr>
        <w:t>t</w:t>
      </w:r>
      <w:r w:rsidR="00EC7302" w:rsidRPr="004B3F3C">
        <w:rPr>
          <w:sz w:val="24"/>
          <w:szCs w:val="24"/>
        </w:rPr>
        <w:t xml:space="preserve">he WHO </w:t>
      </w:r>
      <w:r w:rsidR="00B01A78" w:rsidRPr="004B3F3C">
        <w:rPr>
          <w:sz w:val="24"/>
          <w:szCs w:val="24"/>
        </w:rPr>
        <w:t xml:space="preserve">Health Behaviour </w:t>
      </w:r>
      <w:r w:rsidR="004B3F3C" w:rsidRPr="004B3F3C">
        <w:rPr>
          <w:sz w:val="24"/>
          <w:szCs w:val="24"/>
        </w:rPr>
        <w:t>i</w:t>
      </w:r>
      <w:r w:rsidR="00B01A78" w:rsidRPr="004B3F3C">
        <w:rPr>
          <w:sz w:val="24"/>
          <w:szCs w:val="24"/>
        </w:rPr>
        <w:t xml:space="preserve">n School </w:t>
      </w:r>
      <w:r w:rsidR="004B3F3C" w:rsidRPr="004B3F3C">
        <w:rPr>
          <w:sz w:val="24"/>
          <w:szCs w:val="24"/>
        </w:rPr>
        <w:t>a</w:t>
      </w:r>
      <w:r w:rsidR="00B01A78" w:rsidRPr="004B3F3C">
        <w:rPr>
          <w:sz w:val="24"/>
          <w:szCs w:val="24"/>
        </w:rPr>
        <w:t xml:space="preserve">ged Children </w:t>
      </w:r>
      <w:r w:rsidR="004B3F3C" w:rsidRPr="004B3F3C">
        <w:rPr>
          <w:sz w:val="24"/>
          <w:szCs w:val="24"/>
        </w:rPr>
        <w:t xml:space="preserve">(HBSC) </w:t>
      </w:r>
      <w:r w:rsidR="00B01A78" w:rsidRPr="004B3F3C">
        <w:rPr>
          <w:sz w:val="24"/>
          <w:szCs w:val="24"/>
        </w:rPr>
        <w:t>Survey</w:t>
      </w:r>
      <w:r w:rsidR="004B3F3C" w:rsidRPr="004B3F3C">
        <w:rPr>
          <w:sz w:val="24"/>
          <w:szCs w:val="24"/>
        </w:rPr>
        <w:t xml:space="preserve"> </w:t>
      </w:r>
      <w:r w:rsidR="00B01A78" w:rsidRPr="004B3F3C">
        <w:rPr>
          <w:sz w:val="24"/>
          <w:szCs w:val="24"/>
        </w:rPr>
        <w:t>2015</w:t>
      </w:r>
    </w:p>
    <w:p w14:paraId="31965E5C" w14:textId="77777777" w:rsidR="00B01A78" w:rsidRPr="004B3F3C" w:rsidRDefault="00930726" w:rsidP="004B3F3C">
      <w:pPr>
        <w:spacing w:line="360" w:lineRule="auto"/>
        <w:contextualSpacing/>
        <w:rPr>
          <w:i/>
          <w:sz w:val="24"/>
          <w:szCs w:val="24"/>
        </w:rPr>
      </w:pPr>
      <w:r w:rsidRPr="004B3F3C">
        <w:rPr>
          <w:i/>
          <w:sz w:val="24"/>
          <w:szCs w:val="24"/>
        </w:rPr>
        <w:t>Detail</w:t>
      </w:r>
      <w:r w:rsidR="00B01A78" w:rsidRPr="004B3F3C">
        <w:rPr>
          <w:i/>
          <w:sz w:val="24"/>
          <w:szCs w:val="24"/>
        </w:rPr>
        <w:t>ed Analysis on Findings Relating to Consumption of Energy Drinks by Young People</w:t>
      </w:r>
    </w:p>
    <w:p w14:paraId="5FC43AA4" w14:textId="4EFE71CB" w:rsidR="004B3F3C" w:rsidRPr="004B3F3C" w:rsidRDefault="004B3F3C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t xml:space="preserve">Commissioned report for Department of Health </w:t>
      </w:r>
    </w:p>
    <w:p w14:paraId="25724CE2" w14:textId="653490C8" w:rsidR="00071C19" w:rsidRPr="004B3F3C" w:rsidRDefault="00071C19" w:rsidP="004B3F3C">
      <w:pPr>
        <w:spacing w:line="360" w:lineRule="auto"/>
        <w:contextualSpacing/>
        <w:rPr>
          <w:sz w:val="24"/>
          <w:szCs w:val="24"/>
        </w:rPr>
      </w:pPr>
    </w:p>
    <w:p w14:paraId="500C5995" w14:textId="77777777" w:rsidR="00C43BE7" w:rsidRDefault="00C43BE7" w:rsidP="004B3F3C">
      <w:pPr>
        <w:spacing w:line="360" w:lineRule="auto"/>
        <w:contextualSpacing/>
        <w:rPr>
          <w:b/>
          <w:sz w:val="24"/>
          <w:szCs w:val="24"/>
        </w:rPr>
      </w:pPr>
    </w:p>
    <w:p w14:paraId="28E71678" w14:textId="1FEFDD5F" w:rsidR="00136898" w:rsidRPr="004B3F3C" w:rsidRDefault="00071C19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t>Fiona</w:t>
      </w:r>
      <w:r w:rsidR="004B3F3C" w:rsidRPr="004B3F3C">
        <w:rPr>
          <w:b/>
          <w:sz w:val="24"/>
          <w:szCs w:val="24"/>
        </w:rPr>
        <w:t>, M</w:t>
      </w:r>
      <w:r w:rsidRPr="004B3F3C">
        <w:rPr>
          <w:b/>
          <w:sz w:val="24"/>
          <w:szCs w:val="24"/>
        </w:rPr>
        <w:t xml:space="preserve"> Brooks</w:t>
      </w:r>
      <w:r w:rsidR="004B3F3C" w:rsidRPr="004B3F3C">
        <w:rPr>
          <w:b/>
          <w:sz w:val="24"/>
          <w:szCs w:val="24"/>
        </w:rPr>
        <w:t>,</w:t>
      </w:r>
      <w:r w:rsidRPr="004B3F3C">
        <w:rPr>
          <w:b/>
          <w:sz w:val="24"/>
          <w:szCs w:val="24"/>
        </w:rPr>
        <w:t xml:space="preserve"> </w:t>
      </w:r>
      <w:r w:rsidR="00D9534C" w:rsidRPr="004B3F3C">
        <w:rPr>
          <w:b/>
          <w:sz w:val="24"/>
          <w:szCs w:val="24"/>
        </w:rPr>
        <w:t>El</w:t>
      </w:r>
      <w:r w:rsidR="00BB5A09" w:rsidRPr="004B3F3C">
        <w:rPr>
          <w:b/>
          <w:sz w:val="24"/>
          <w:szCs w:val="24"/>
        </w:rPr>
        <w:t>len</w:t>
      </w:r>
      <w:r w:rsidR="00D9534C" w:rsidRPr="004B3F3C">
        <w:rPr>
          <w:b/>
          <w:sz w:val="24"/>
          <w:szCs w:val="24"/>
        </w:rPr>
        <w:t xml:space="preserve"> Klemera</w:t>
      </w:r>
      <w:r w:rsidR="004B3F3C" w:rsidRPr="004B3F3C">
        <w:rPr>
          <w:b/>
          <w:sz w:val="24"/>
          <w:szCs w:val="24"/>
        </w:rPr>
        <w:t xml:space="preserve">, </w:t>
      </w:r>
      <w:r w:rsidR="00CF72F3" w:rsidRPr="004B3F3C">
        <w:rPr>
          <w:b/>
          <w:sz w:val="24"/>
          <w:szCs w:val="24"/>
        </w:rPr>
        <w:t>Josefine Magnusson</w:t>
      </w:r>
      <w:r w:rsidR="004B3F3C" w:rsidRPr="004B3F3C">
        <w:rPr>
          <w:b/>
          <w:sz w:val="24"/>
          <w:szCs w:val="24"/>
        </w:rPr>
        <w:t xml:space="preserve">, </w:t>
      </w:r>
      <w:r w:rsidR="00136898" w:rsidRPr="004B3F3C">
        <w:rPr>
          <w:b/>
          <w:sz w:val="24"/>
          <w:szCs w:val="24"/>
        </w:rPr>
        <w:t>Kayleigh Chester</w:t>
      </w:r>
    </w:p>
    <w:p w14:paraId="7587B56C" w14:textId="77777777" w:rsidR="004B3F3C" w:rsidRPr="004B3F3C" w:rsidRDefault="004B3F3C" w:rsidP="004B3F3C">
      <w:pPr>
        <w:spacing w:line="360" w:lineRule="auto"/>
        <w:contextualSpacing/>
        <w:rPr>
          <w:sz w:val="24"/>
          <w:szCs w:val="24"/>
        </w:rPr>
      </w:pPr>
    </w:p>
    <w:p w14:paraId="4E107CBA" w14:textId="77777777" w:rsidR="004B3F3C" w:rsidRPr="004B3F3C" w:rsidRDefault="004B3F3C" w:rsidP="004B3F3C">
      <w:pPr>
        <w:spacing w:line="360" w:lineRule="auto"/>
        <w:contextualSpacing/>
        <w:rPr>
          <w:sz w:val="24"/>
          <w:szCs w:val="24"/>
        </w:rPr>
      </w:pPr>
    </w:p>
    <w:p w14:paraId="5551013D" w14:textId="77777777" w:rsidR="004B3F3C" w:rsidRDefault="004B3F3C" w:rsidP="004B3F3C">
      <w:pPr>
        <w:spacing w:line="360" w:lineRule="auto"/>
        <w:contextualSpacing/>
        <w:rPr>
          <w:sz w:val="24"/>
          <w:szCs w:val="24"/>
        </w:rPr>
      </w:pPr>
    </w:p>
    <w:p w14:paraId="0CE902F6" w14:textId="77777777" w:rsidR="00C43BE7" w:rsidRDefault="00C43BE7" w:rsidP="004B3F3C">
      <w:pPr>
        <w:spacing w:line="360" w:lineRule="auto"/>
        <w:contextualSpacing/>
        <w:rPr>
          <w:sz w:val="24"/>
          <w:szCs w:val="24"/>
        </w:rPr>
      </w:pPr>
    </w:p>
    <w:p w14:paraId="12105C5F" w14:textId="04D57B54" w:rsidR="00D9534C" w:rsidRPr="004B3F3C" w:rsidRDefault="00D9534C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t xml:space="preserve">University of </w:t>
      </w:r>
      <w:r w:rsidR="00763277" w:rsidRPr="004B3F3C">
        <w:rPr>
          <w:sz w:val="24"/>
          <w:szCs w:val="24"/>
        </w:rPr>
        <w:t>Hertfordshire</w:t>
      </w:r>
      <w:r w:rsidRPr="004B3F3C">
        <w:rPr>
          <w:sz w:val="24"/>
          <w:szCs w:val="24"/>
        </w:rPr>
        <w:t xml:space="preserve"> </w:t>
      </w:r>
    </w:p>
    <w:p w14:paraId="716DF623" w14:textId="394CC3C7" w:rsidR="00EC7302" w:rsidRPr="004B3F3C" w:rsidRDefault="00EC7302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t xml:space="preserve">Contact </w:t>
      </w:r>
      <w:hyperlink r:id="rId8" w:history="1">
        <w:r w:rsidR="00136898" w:rsidRPr="004B3F3C">
          <w:rPr>
            <w:rStyle w:val="Hyperlink"/>
            <w:sz w:val="24"/>
            <w:szCs w:val="24"/>
          </w:rPr>
          <w:t>Fiona.Brooks@uts.edu.au</w:t>
        </w:r>
      </w:hyperlink>
    </w:p>
    <w:p w14:paraId="5A746E1F" w14:textId="7FEC0652" w:rsidR="00136898" w:rsidRPr="004B3F3C" w:rsidRDefault="00136898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t xml:space="preserve">               </w:t>
      </w:r>
      <w:hyperlink r:id="rId9" w:history="1">
        <w:r w:rsidRPr="004B3F3C">
          <w:rPr>
            <w:rStyle w:val="Hyperlink"/>
            <w:sz w:val="24"/>
            <w:szCs w:val="24"/>
          </w:rPr>
          <w:t>e.1.klemera@herts.ac.uk</w:t>
        </w:r>
      </w:hyperlink>
      <w:r w:rsidRPr="004B3F3C">
        <w:rPr>
          <w:sz w:val="24"/>
          <w:szCs w:val="24"/>
        </w:rPr>
        <w:t xml:space="preserve"> </w:t>
      </w:r>
    </w:p>
    <w:p w14:paraId="191FBBA2" w14:textId="77777777" w:rsidR="00EC7302" w:rsidRPr="004B3F3C" w:rsidRDefault="00EC7302" w:rsidP="004B3F3C">
      <w:pPr>
        <w:spacing w:line="360" w:lineRule="auto"/>
        <w:contextualSpacing/>
        <w:rPr>
          <w:sz w:val="24"/>
          <w:szCs w:val="24"/>
        </w:rPr>
      </w:pPr>
    </w:p>
    <w:p w14:paraId="6AB93F78" w14:textId="77777777" w:rsidR="004B3F3C" w:rsidRDefault="004B3F3C" w:rsidP="004B3F3C">
      <w:pPr>
        <w:spacing w:line="360" w:lineRule="auto"/>
        <w:contextualSpacing/>
        <w:rPr>
          <w:sz w:val="24"/>
          <w:szCs w:val="24"/>
        </w:rPr>
      </w:pPr>
    </w:p>
    <w:p w14:paraId="7EAA95C2" w14:textId="77777777" w:rsidR="00C43BE7" w:rsidRDefault="00C43BE7" w:rsidP="004B3F3C">
      <w:pPr>
        <w:spacing w:line="360" w:lineRule="auto"/>
        <w:contextualSpacing/>
        <w:rPr>
          <w:sz w:val="24"/>
          <w:szCs w:val="24"/>
        </w:rPr>
      </w:pPr>
    </w:p>
    <w:p w14:paraId="1E2051DC" w14:textId="622348BE" w:rsidR="00C721A2" w:rsidRPr="004B3F3C" w:rsidRDefault="00C721A2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t xml:space="preserve">HBSC detailed report </w:t>
      </w:r>
      <w:r w:rsidR="004B3F3C" w:rsidRPr="004B3F3C">
        <w:rPr>
          <w:sz w:val="24"/>
          <w:szCs w:val="24"/>
        </w:rPr>
        <w:t>August</w:t>
      </w:r>
      <w:r w:rsidRPr="004B3F3C">
        <w:rPr>
          <w:sz w:val="24"/>
          <w:szCs w:val="24"/>
        </w:rPr>
        <w:t xml:space="preserve"> 201</w:t>
      </w:r>
      <w:r w:rsidR="004B3F3C" w:rsidRPr="004B3F3C">
        <w:rPr>
          <w:sz w:val="24"/>
          <w:szCs w:val="24"/>
        </w:rPr>
        <w:t>8</w:t>
      </w:r>
      <w:r w:rsidRPr="004B3F3C">
        <w:rPr>
          <w:sz w:val="24"/>
          <w:szCs w:val="24"/>
        </w:rPr>
        <w:t xml:space="preserve">. University of Hertfordshire, Hatfield. </w:t>
      </w:r>
    </w:p>
    <w:p w14:paraId="7F6DB853" w14:textId="77777777" w:rsidR="00A969B4" w:rsidRPr="004B3F3C" w:rsidRDefault="00A969B4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sz w:val="24"/>
          <w:szCs w:val="24"/>
        </w:rPr>
        <w:br w:type="page"/>
      </w:r>
    </w:p>
    <w:p w14:paraId="6380D5E4" w14:textId="77777777" w:rsidR="00763277" w:rsidRPr="004B3F3C" w:rsidRDefault="00763277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lastRenderedPageBreak/>
        <w:t xml:space="preserve">Summary </w:t>
      </w:r>
    </w:p>
    <w:p w14:paraId="201E0D12" w14:textId="22BEA9CD" w:rsidR="00763277" w:rsidRPr="004B3F3C" w:rsidRDefault="00763277" w:rsidP="004B3F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</w:pPr>
      <w:r w:rsidRPr="004B3F3C">
        <w:t>14% of young people aged 11-15 years report consuming energy drinks 2-4 times a week</w:t>
      </w:r>
      <w:r w:rsidR="00504851" w:rsidRPr="004B3F3C">
        <w:t>.</w:t>
      </w:r>
      <w:r w:rsidRPr="004B3F3C">
        <w:t xml:space="preserve"> </w:t>
      </w:r>
    </w:p>
    <w:p w14:paraId="4632EA1E" w14:textId="77777777" w:rsidR="00F73926" w:rsidRPr="004B3F3C" w:rsidRDefault="00F73926" w:rsidP="004B3F3C">
      <w:pPr>
        <w:pStyle w:val="ListParagraph"/>
        <w:spacing w:after="240" w:line="360" w:lineRule="auto"/>
      </w:pPr>
    </w:p>
    <w:p w14:paraId="33D17EFD" w14:textId="77777777" w:rsidR="00F73926" w:rsidRPr="004B3F3C" w:rsidRDefault="00F73926" w:rsidP="004B3F3C">
      <w:pPr>
        <w:pStyle w:val="ListParagraph"/>
        <w:numPr>
          <w:ilvl w:val="0"/>
          <w:numId w:val="8"/>
        </w:numPr>
        <w:spacing w:after="240" w:line="360" w:lineRule="auto"/>
        <w:ind w:left="714" w:hanging="357"/>
      </w:pPr>
      <w:r w:rsidRPr="004B3F3C">
        <w:t>Consumption of energy drinks increases with age.</w:t>
      </w:r>
    </w:p>
    <w:p w14:paraId="5E14AA31" w14:textId="77777777" w:rsidR="00F73926" w:rsidRPr="004B3F3C" w:rsidRDefault="00F73926" w:rsidP="004B3F3C">
      <w:pPr>
        <w:pStyle w:val="ListParagraph"/>
        <w:spacing w:after="240" w:line="360" w:lineRule="auto"/>
        <w:ind w:left="714"/>
      </w:pPr>
    </w:p>
    <w:p w14:paraId="11C572B8" w14:textId="4F8278BB" w:rsidR="00A101EF" w:rsidRPr="004B3F3C" w:rsidRDefault="00763277" w:rsidP="004B3F3C">
      <w:pPr>
        <w:pStyle w:val="ListParagraph"/>
        <w:numPr>
          <w:ilvl w:val="0"/>
          <w:numId w:val="8"/>
        </w:numPr>
        <w:spacing w:after="240" w:line="360" w:lineRule="auto"/>
        <w:ind w:left="714" w:hanging="357"/>
      </w:pPr>
      <w:r w:rsidRPr="004B3F3C">
        <w:t xml:space="preserve">Boys aged 13 and 15 years are the most likely to consume energy drinks regularly, with 20% of </w:t>
      </w:r>
      <w:r w:rsidR="00701B70" w:rsidRPr="004B3F3C">
        <w:t>13-year-old</w:t>
      </w:r>
      <w:r w:rsidRPr="004B3F3C">
        <w:t xml:space="preserve"> boys consuming energy drinks at least 2-4 days a week.</w:t>
      </w:r>
    </w:p>
    <w:p w14:paraId="59D213BF" w14:textId="77777777" w:rsidR="00F73926" w:rsidRPr="004B3F3C" w:rsidRDefault="00F73926" w:rsidP="004B3F3C">
      <w:pPr>
        <w:pStyle w:val="ListParagraph"/>
        <w:spacing w:after="240" w:line="360" w:lineRule="auto"/>
        <w:ind w:left="714"/>
      </w:pPr>
    </w:p>
    <w:p w14:paraId="36DD3AB0" w14:textId="000A98B4" w:rsidR="00F73926" w:rsidRPr="004B3F3C" w:rsidRDefault="00763277" w:rsidP="004B3F3C">
      <w:pPr>
        <w:pStyle w:val="ListParagraph"/>
        <w:numPr>
          <w:ilvl w:val="0"/>
          <w:numId w:val="8"/>
        </w:numPr>
        <w:spacing w:after="240" w:line="360" w:lineRule="auto"/>
        <w:ind w:left="714" w:hanging="357"/>
      </w:pPr>
      <w:r w:rsidRPr="004B3F3C">
        <w:t>Being physically active is associated with the consumption of energy drinks.  Those young people</w:t>
      </w:r>
      <w:r w:rsidR="002E532A" w:rsidRPr="004B3F3C">
        <w:t xml:space="preserve"> (especially boys)</w:t>
      </w:r>
      <w:r w:rsidRPr="004B3F3C">
        <w:t xml:space="preserve"> who meet the recommended physical activity levels are more likely to consume energy drinks than those who do not meet the guidelines. </w:t>
      </w:r>
    </w:p>
    <w:p w14:paraId="6B4C64CB" w14:textId="77777777" w:rsidR="00F73926" w:rsidRPr="004B3F3C" w:rsidRDefault="00F73926" w:rsidP="004B3F3C">
      <w:pPr>
        <w:pStyle w:val="ListParagraph"/>
        <w:spacing w:after="240" w:line="360" w:lineRule="auto"/>
        <w:ind w:left="714"/>
      </w:pPr>
    </w:p>
    <w:p w14:paraId="3C637011" w14:textId="5F06E03B" w:rsidR="0021585F" w:rsidRPr="004B3F3C" w:rsidRDefault="00763277" w:rsidP="004B3F3C">
      <w:pPr>
        <w:pStyle w:val="ListParagraph"/>
        <w:numPr>
          <w:ilvl w:val="0"/>
          <w:numId w:val="8"/>
        </w:numPr>
        <w:spacing w:after="240" w:line="360" w:lineRule="auto"/>
      </w:pPr>
      <w:r w:rsidRPr="004B3F3C">
        <w:t xml:space="preserve">Those who regularly consume energy drinks (at least 2-4 times a week) are less likely to eat breakfast on a school day. </w:t>
      </w:r>
    </w:p>
    <w:p w14:paraId="6CC3BADA" w14:textId="77777777" w:rsidR="00F73926" w:rsidRPr="004B3F3C" w:rsidRDefault="00F73926" w:rsidP="004B3F3C">
      <w:pPr>
        <w:pStyle w:val="ListParagraph"/>
        <w:spacing w:after="240" w:line="360" w:lineRule="auto"/>
      </w:pPr>
    </w:p>
    <w:p w14:paraId="48A27617" w14:textId="3B8338F6" w:rsidR="0021585F" w:rsidRPr="004B3F3C" w:rsidRDefault="00504851" w:rsidP="004B3F3C">
      <w:pPr>
        <w:pStyle w:val="ListParagraph"/>
        <w:numPr>
          <w:ilvl w:val="0"/>
          <w:numId w:val="8"/>
        </w:numPr>
        <w:spacing w:after="240" w:line="360" w:lineRule="auto"/>
      </w:pPr>
      <w:r w:rsidRPr="004B3F3C">
        <w:t>Young people who drink energy drinks</w:t>
      </w:r>
      <w:r w:rsidR="002E532A" w:rsidRPr="004B3F3C">
        <w:t xml:space="preserve"> are more</w:t>
      </w:r>
      <w:r w:rsidRPr="004B3F3C">
        <w:t xml:space="preserve"> likely to report </w:t>
      </w:r>
      <w:r w:rsidR="002E532A" w:rsidRPr="004B3F3C">
        <w:t>that they do</w:t>
      </w:r>
      <w:r w:rsidRPr="004B3F3C">
        <w:t xml:space="preserve"> not have enough sleep to concentrate at school than those who</w:t>
      </w:r>
      <w:r w:rsidR="00BB5A09" w:rsidRPr="004B3F3C">
        <w:t xml:space="preserve"> </w:t>
      </w:r>
      <w:r w:rsidR="0063189D" w:rsidRPr="004B3F3C">
        <w:t>do not</w:t>
      </w:r>
      <w:r w:rsidRPr="004B3F3C">
        <w:t xml:space="preserve"> consume energy drinks</w:t>
      </w:r>
      <w:r w:rsidR="0063189D" w:rsidRPr="004B3F3C">
        <w:t>.</w:t>
      </w:r>
    </w:p>
    <w:p w14:paraId="6D8B2981" w14:textId="77777777" w:rsidR="0021585F" w:rsidRPr="004B3F3C" w:rsidRDefault="0021585F" w:rsidP="004B3F3C">
      <w:pPr>
        <w:pStyle w:val="ListParagraph"/>
        <w:spacing w:after="240" w:line="360" w:lineRule="auto"/>
      </w:pPr>
    </w:p>
    <w:p w14:paraId="25D50DE7" w14:textId="0EFE1487" w:rsidR="0021585F" w:rsidRPr="004B3F3C" w:rsidRDefault="0021585F" w:rsidP="004B3F3C">
      <w:pPr>
        <w:pStyle w:val="ListParagraph"/>
        <w:numPr>
          <w:ilvl w:val="0"/>
          <w:numId w:val="8"/>
        </w:numPr>
        <w:spacing w:after="240" w:line="360" w:lineRule="auto"/>
      </w:pPr>
      <w:r w:rsidRPr="004B3F3C">
        <w:t xml:space="preserve">Across a range of health and well-being measures those who never consume energy drinks appear to </w:t>
      </w:r>
      <w:r w:rsidR="003111B0" w:rsidRPr="004B3F3C">
        <w:t>have more positive outcomes</w:t>
      </w:r>
      <w:r w:rsidR="00BB5A09" w:rsidRPr="004B3F3C">
        <w:t xml:space="preserve"> </w:t>
      </w:r>
      <w:r w:rsidRPr="004B3F3C">
        <w:t xml:space="preserve">and </w:t>
      </w:r>
      <w:r w:rsidR="00BB5A09" w:rsidRPr="004B3F3C">
        <w:t>have higher life satisfaction than</w:t>
      </w:r>
      <w:r w:rsidRPr="004B3F3C">
        <w:t xml:space="preserve"> those who consume energy drinks. </w:t>
      </w:r>
    </w:p>
    <w:p w14:paraId="2070F313" w14:textId="77777777" w:rsidR="00A101EF" w:rsidRPr="004B3F3C" w:rsidRDefault="00A101EF" w:rsidP="004B3F3C">
      <w:pPr>
        <w:pStyle w:val="ListParagraph"/>
        <w:spacing w:after="240" w:line="360" w:lineRule="auto"/>
      </w:pPr>
    </w:p>
    <w:p w14:paraId="7BE871EF" w14:textId="5AD8F21A" w:rsidR="00A101EF" w:rsidRPr="004B3F3C" w:rsidRDefault="00A101EF" w:rsidP="004B3F3C">
      <w:pPr>
        <w:pStyle w:val="ListParagraph"/>
        <w:numPr>
          <w:ilvl w:val="0"/>
          <w:numId w:val="8"/>
        </w:numPr>
        <w:spacing w:after="240" w:line="360" w:lineRule="auto"/>
      </w:pPr>
      <w:r w:rsidRPr="004B3F3C">
        <w:t>Those who consumed energy drinks regularly or on daily basis were more likely to receive free school meals than those who did not consume energy drinks.</w:t>
      </w:r>
    </w:p>
    <w:p w14:paraId="7C124227" w14:textId="68F6FFE4" w:rsidR="00763277" w:rsidRPr="004B3F3C" w:rsidRDefault="00763277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br w:type="page"/>
      </w:r>
    </w:p>
    <w:p w14:paraId="3EE02CA0" w14:textId="0154DD50" w:rsidR="00071C19" w:rsidRDefault="00071C19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lastRenderedPageBreak/>
        <w:t xml:space="preserve">Introduction </w:t>
      </w:r>
    </w:p>
    <w:p w14:paraId="2FBAF3B2" w14:textId="77777777" w:rsidR="004B3F3C" w:rsidRPr="004B3F3C" w:rsidRDefault="004B3F3C" w:rsidP="004B3F3C">
      <w:pPr>
        <w:spacing w:line="360" w:lineRule="auto"/>
        <w:contextualSpacing/>
        <w:rPr>
          <w:b/>
          <w:sz w:val="24"/>
          <w:szCs w:val="24"/>
        </w:rPr>
      </w:pPr>
    </w:p>
    <w:p w14:paraId="232EBF51" w14:textId="1F8A6B8B" w:rsidR="00071C19" w:rsidRPr="004B3F3C" w:rsidRDefault="00071C19" w:rsidP="004B3F3C">
      <w:pPr>
        <w:spacing w:line="360" w:lineRule="auto"/>
        <w:contextualSpacing/>
      </w:pPr>
      <w:r w:rsidRPr="004B3F3C">
        <w:t xml:space="preserve">This short report presents </w:t>
      </w:r>
      <w:r w:rsidR="006276BE" w:rsidRPr="004B3F3C">
        <w:t>findings</w:t>
      </w:r>
      <w:r w:rsidRPr="004B3F3C">
        <w:t xml:space="preserve"> from the W</w:t>
      </w:r>
      <w:r w:rsidR="003111B0" w:rsidRPr="004B3F3C">
        <w:t xml:space="preserve">orld </w:t>
      </w:r>
      <w:r w:rsidRPr="004B3F3C">
        <w:t>H</w:t>
      </w:r>
      <w:r w:rsidR="003111B0" w:rsidRPr="004B3F3C">
        <w:t xml:space="preserve">ealth </w:t>
      </w:r>
      <w:r w:rsidRPr="004B3F3C">
        <w:t>O</w:t>
      </w:r>
      <w:r w:rsidR="003111B0" w:rsidRPr="004B3F3C">
        <w:t>rganization (WHO)</w:t>
      </w:r>
      <w:r w:rsidRPr="004B3F3C">
        <w:t xml:space="preserve"> Health </w:t>
      </w:r>
      <w:r w:rsidR="006276BE" w:rsidRPr="004B3F3C">
        <w:t>Behaviour</w:t>
      </w:r>
      <w:r w:rsidR="00572C8B" w:rsidRPr="004B3F3C">
        <w:t xml:space="preserve"> in S</w:t>
      </w:r>
      <w:r w:rsidRPr="004B3F3C">
        <w:t>chool</w:t>
      </w:r>
      <w:r w:rsidR="00572C8B" w:rsidRPr="004B3F3C">
        <w:t>-aged C</w:t>
      </w:r>
      <w:r w:rsidRPr="004B3F3C">
        <w:t xml:space="preserve">hildren study </w:t>
      </w:r>
      <w:r w:rsidR="00572C8B" w:rsidRPr="004B3F3C">
        <w:t xml:space="preserve">(HBSC) </w:t>
      </w:r>
      <w:r w:rsidR="006276BE" w:rsidRPr="004B3F3C">
        <w:t>relating</w:t>
      </w:r>
      <w:r w:rsidRPr="004B3F3C">
        <w:t xml:space="preserve"> to patterns of </w:t>
      </w:r>
      <w:r w:rsidR="003111B0" w:rsidRPr="004B3F3C">
        <w:t xml:space="preserve">energy drink consumption </w:t>
      </w:r>
      <w:r w:rsidRPr="004B3F3C">
        <w:t>among young people</w:t>
      </w:r>
      <w:r w:rsidR="0061687F" w:rsidRPr="004B3F3C">
        <w:t xml:space="preserve"> aged 11-15</w:t>
      </w:r>
      <w:r w:rsidR="00572C8B" w:rsidRPr="004B3F3C">
        <w:t xml:space="preserve"> </w:t>
      </w:r>
      <w:r w:rsidR="00023888" w:rsidRPr="004B3F3C">
        <w:t xml:space="preserve">years </w:t>
      </w:r>
      <w:r w:rsidR="00572C8B" w:rsidRPr="004B3F3C">
        <w:t>in England</w:t>
      </w:r>
      <w:r w:rsidRPr="004B3F3C">
        <w:t>.</w:t>
      </w:r>
    </w:p>
    <w:p w14:paraId="1B6A7919" w14:textId="16BE9AFA" w:rsidR="00071C19" w:rsidRPr="004B3F3C" w:rsidRDefault="00071C19" w:rsidP="004B3F3C">
      <w:pPr>
        <w:spacing w:line="360" w:lineRule="auto"/>
        <w:contextualSpacing/>
      </w:pPr>
      <w:r w:rsidRPr="004B3F3C">
        <w:t xml:space="preserve">The </w:t>
      </w:r>
      <w:r w:rsidR="006276BE" w:rsidRPr="004B3F3C">
        <w:t>results</w:t>
      </w:r>
      <w:r w:rsidRPr="004B3F3C">
        <w:t xml:space="preserve"> presented </w:t>
      </w:r>
      <w:r w:rsidR="00572C8B" w:rsidRPr="004B3F3C">
        <w:t xml:space="preserve">in this report </w:t>
      </w:r>
      <w:r w:rsidRPr="004B3F3C">
        <w:t>are drawn from the</w:t>
      </w:r>
      <w:r w:rsidR="00572C8B" w:rsidRPr="004B3F3C">
        <w:t xml:space="preserve"> HBSC</w:t>
      </w:r>
      <w:r w:rsidRPr="004B3F3C">
        <w:t xml:space="preserve"> 2014/</w:t>
      </w:r>
      <w:r w:rsidR="003111B0" w:rsidRPr="004B3F3C">
        <w:t>1</w:t>
      </w:r>
      <w:r w:rsidRPr="004B3F3C">
        <w:t xml:space="preserve">5 survey </w:t>
      </w:r>
      <w:r w:rsidR="006276BE" w:rsidRPr="004B3F3C">
        <w:t>findings</w:t>
      </w:r>
      <w:r w:rsidRPr="004B3F3C">
        <w:t>.</w:t>
      </w:r>
      <w:r w:rsidR="00572C8B" w:rsidRPr="004B3F3C">
        <w:t xml:space="preserve"> </w:t>
      </w:r>
      <w:r w:rsidRPr="004B3F3C">
        <w:t>A new question</w:t>
      </w:r>
      <w:r w:rsidR="004B68A3" w:rsidRPr="004B3F3C">
        <w:t xml:space="preserve"> in the HBSC England Survey</w:t>
      </w:r>
      <w:r w:rsidRPr="004B3F3C">
        <w:t xml:space="preserve"> was included on energy drink consumption for the first time in 2014. </w:t>
      </w:r>
      <w:r w:rsidR="006276BE" w:rsidRPr="004B3F3C">
        <w:t xml:space="preserve">The measure asked </w:t>
      </w:r>
      <w:r w:rsidR="001F67A5" w:rsidRPr="004B3F3C">
        <w:t xml:space="preserve">how frequently young people consumed energy drinks and included </w:t>
      </w:r>
      <w:proofErr w:type="gramStart"/>
      <w:r w:rsidR="001F67A5" w:rsidRPr="004B3F3C">
        <w:t>a number of</w:t>
      </w:r>
      <w:proofErr w:type="gramEnd"/>
      <w:r w:rsidR="001F67A5" w:rsidRPr="004B3F3C">
        <w:t xml:space="preserve"> brand examples</w:t>
      </w:r>
      <w:r w:rsidR="004B3F3C">
        <w:t xml:space="preserve">, with the response options: </w:t>
      </w:r>
      <w:r w:rsidR="004B3F3C" w:rsidRPr="004B3F3C">
        <w:rPr>
          <w:b/>
        </w:rPr>
        <w:t>‘never’, ‘less than once a week’, ‘once a week’, ‘2-4days a week’, ‘5-6 days a week’, ‘once a day’, ‘every day’, ‘every day, more than once’</w:t>
      </w:r>
      <w:r w:rsidR="004B3F3C" w:rsidRPr="004B3F3C">
        <w:t xml:space="preserve"> </w:t>
      </w:r>
    </w:p>
    <w:p w14:paraId="46650EE3" w14:textId="77777777" w:rsidR="009C7E28" w:rsidRPr="004B3F3C" w:rsidRDefault="009C7E28" w:rsidP="004B3F3C">
      <w:pPr>
        <w:spacing w:line="360" w:lineRule="auto"/>
        <w:contextualSpacing/>
      </w:pPr>
      <w:r w:rsidRPr="004B3F3C">
        <w:t xml:space="preserve">In this report the following definitions have been adopted </w:t>
      </w:r>
    </w:p>
    <w:p w14:paraId="7AA7C91B" w14:textId="2D0DC8AF" w:rsidR="009C7E28" w:rsidRPr="004B3F3C" w:rsidRDefault="009C7E28" w:rsidP="004B3F3C">
      <w:pPr>
        <w:pStyle w:val="ListParagraph"/>
        <w:numPr>
          <w:ilvl w:val="0"/>
          <w:numId w:val="7"/>
        </w:numPr>
        <w:spacing w:line="360" w:lineRule="auto"/>
      </w:pPr>
      <w:r w:rsidRPr="004B3F3C">
        <w:t xml:space="preserve">Regular consumption of energy drinks refers to 2-4 times a week. </w:t>
      </w:r>
    </w:p>
    <w:p w14:paraId="26AF173A" w14:textId="7FB91F72" w:rsidR="009C7E28" w:rsidRPr="004B3F3C" w:rsidRDefault="004310B9" w:rsidP="004B3F3C">
      <w:pPr>
        <w:pStyle w:val="ListParagraph"/>
        <w:numPr>
          <w:ilvl w:val="0"/>
          <w:numId w:val="7"/>
        </w:numPr>
        <w:spacing w:line="360" w:lineRule="auto"/>
        <w:rPr>
          <w:i/>
        </w:rPr>
      </w:pPr>
      <w:r w:rsidRPr="004B3F3C">
        <w:t xml:space="preserve">Daily consumption of energy drinks includes both </w:t>
      </w:r>
      <w:r w:rsidRPr="004B3F3C">
        <w:rPr>
          <w:i/>
        </w:rPr>
        <w:t>every day</w:t>
      </w:r>
      <w:r w:rsidRPr="004B3F3C">
        <w:t xml:space="preserve"> and </w:t>
      </w:r>
      <w:r w:rsidRPr="004B3F3C">
        <w:rPr>
          <w:i/>
        </w:rPr>
        <w:t>more than once a day</w:t>
      </w:r>
    </w:p>
    <w:p w14:paraId="57C41231" w14:textId="77777777" w:rsidR="00B43132" w:rsidRPr="004B3F3C" w:rsidRDefault="00B43132" w:rsidP="004B3F3C">
      <w:pPr>
        <w:pStyle w:val="ListParagraph"/>
        <w:spacing w:line="360" w:lineRule="auto"/>
        <w:rPr>
          <w:i/>
        </w:rPr>
      </w:pPr>
    </w:p>
    <w:p w14:paraId="36845320" w14:textId="0D75C8DF" w:rsidR="009C7E28" w:rsidRPr="004B3F3C" w:rsidRDefault="009C7E28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t xml:space="preserve">Background </w:t>
      </w:r>
    </w:p>
    <w:p w14:paraId="746E7ACF" w14:textId="77777777" w:rsidR="00C43BE7" w:rsidRDefault="00C43BE7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</w:pPr>
    </w:p>
    <w:p w14:paraId="646383A2" w14:textId="4E7B8A1E" w:rsidR="0061687F" w:rsidRPr="004B3F3C" w:rsidRDefault="008C2A63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</w:pPr>
      <w:r w:rsidRPr="004B3F3C">
        <w:t>Energy</w:t>
      </w:r>
      <w:r w:rsidR="00C66226" w:rsidRPr="004B3F3C">
        <w:t xml:space="preserve"> drinks</w:t>
      </w:r>
      <w:r w:rsidR="001F67A5" w:rsidRPr="004B3F3C">
        <w:t xml:space="preserve"> represent a relatively newer form of </w:t>
      </w:r>
      <w:r w:rsidR="00C66226" w:rsidRPr="004B3F3C">
        <w:t>non-</w:t>
      </w:r>
      <w:r w:rsidRPr="004B3F3C">
        <w:t>alcoholic</w:t>
      </w:r>
      <w:r w:rsidR="00C66226" w:rsidRPr="004B3F3C">
        <w:t xml:space="preserve"> beverage </w:t>
      </w:r>
      <w:r w:rsidR="0061687F" w:rsidRPr="004B3F3C">
        <w:t xml:space="preserve">that has grown </w:t>
      </w:r>
      <w:r w:rsidR="004B68A3" w:rsidRPr="004B3F3C">
        <w:t xml:space="preserve">in terms of </w:t>
      </w:r>
      <w:r w:rsidR="0061687F" w:rsidRPr="004B3F3C">
        <w:t>volume sales over the past 20 years</w:t>
      </w:r>
      <w:r w:rsidR="00BC7F38" w:rsidRPr="004B3F3C">
        <w:t xml:space="preserve"> and represent one of the fastest growing </w:t>
      </w:r>
      <w:r w:rsidR="004B68A3" w:rsidRPr="004B3F3C">
        <w:t xml:space="preserve">aspects of the </w:t>
      </w:r>
      <w:r w:rsidRPr="004B3F3C">
        <w:t>beverage</w:t>
      </w:r>
      <w:r w:rsidR="004B68A3" w:rsidRPr="004B3F3C">
        <w:t xml:space="preserve"> market</w:t>
      </w:r>
      <w:r w:rsidR="0061687F" w:rsidRPr="004B3F3C">
        <w:t xml:space="preserve">. </w:t>
      </w:r>
    </w:p>
    <w:p w14:paraId="1C04A1EE" w14:textId="3BAF5DC4" w:rsidR="008C2A63" w:rsidRPr="004B3F3C" w:rsidRDefault="004B68A3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Arial Unicode MS" w:cs="Arial Unicode MS"/>
          <w:color w:val="232323"/>
          <w:lang w:val="en-US"/>
        </w:rPr>
      </w:pPr>
      <w:r w:rsidRPr="004B3F3C">
        <w:t>Potential impact on health and well-</w:t>
      </w:r>
      <w:r w:rsidR="008C2A63" w:rsidRPr="004B3F3C">
        <w:t>being</w:t>
      </w:r>
      <w:r w:rsidRPr="004B3F3C">
        <w:t xml:space="preserve"> of energy drink cons</w:t>
      </w:r>
      <w:r w:rsidR="00F872C4" w:rsidRPr="004B3F3C">
        <w:t>umption requires more research</w:t>
      </w:r>
      <w:r w:rsidR="00E37013" w:rsidRPr="004B3F3C">
        <w:t>, especially in terms of consumption by children and younger adolescents.</w:t>
      </w:r>
      <w:r w:rsidR="00F872C4" w:rsidRPr="004B3F3C">
        <w:t xml:space="preserve"> However a </w:t>
      </w:r>
      <w:r w:rsidRPr="004B3F3C">
        <w:t>r</w:t>
      </w:r>
      <w:r w:rsidR="00F872C4" w:rsidRPr="004B3F3C">
        <w:t>ecent</w:t>
      </w:r>
      <w:r w:rsidR="00720026" w:rsidRPr="004B3F3C">
        <w:t xml:space="preserve"> </w:t>
      </w:r>
      <w:r w:rsidR="008C2A63" w:rsidRPr="004B3F3C">
        <w:t>Canadian</w:t>
      </w:r>
      <w:r w:rsidRPr="004B3F3C">
        <w:t xml:space="preserve"> study </w:t>
      </w:r>
      <w:r w:rsidR="008C2A63" w:rsidRPr="004B3F3C">
        <w:t>identified</w:t>
      </w:r>
      <w:r w:rsidRPr="004B3F3C">
        <w:t xml:space="preserve"> </w:t>
      </w:r>
      <w:r w:rsidR="008C2A63" w:rsidRPr="004B3F3C">
        <w:t>associations</w:t>
      </w:r>
      <w:r w:rsidR="00720026" w:rsidRPr="004B3F3C">
        <w:t xml:space="preserve"> between energy drink consumption and other </w:t>
      </w:r>
      <w:r w:rsidR="008C2A63" w:rsidRPr="004B3F3C">
        <w:t>health</w:t>
      </w:r>
      <w:r w:rsidR="00720026" w:rsidRPr="004B3F3C">
        <w:t xml:space="preserve"> risk </w:t>
      </w:r>
      <w:r w:rsidR="008C2A63" w:rsidRPr="004B3F3C">
        <w:t>behaviours</w:t>
      </w:r>
      <w:r w:rsidRPr="004B3F3C">
        <w:t xml:space="preserve"> during </w:t>
      </w:r>
      <w:r w:rsidR="008C2A63" w:rsidRPr="004B3F3C">
        <w:t>adolescence</w:t>
      </w:r>
      <w:r w:rsidR="00720026" w:rsidRPr="004B3F3C">
        <w:t xml:space="preserve"> including substance misuse and increased</w:t>
      </w:r>
      <w:r w:rsidRPr="004B3F3C">
        <w:t xml:space="preserve"> depression, suggesting that they may be ‘</w:t>
      </w:r>
      <w:r w:rsidRPr="004B3F3C">
        <w:rPr>
          <w:rFonts w:eastAsia="Arial Unicode MS" w:cs="Arial Unicode MS"/>
          <w:i/>
          <w:color w:val="232323"/>
          <w:lang w:val="en-US"/>
        </w:rPr>
        <w:t>a marker for other activities that may negatively affect adolescent development, health and well-</w:t>
      </w:r>
      <w:r w:rsidRPr="004B3F3C">
        <w:rPr>
          <w:rFonts w:eastAsia="Arial Unicode MS" w:cs="Arial Unicode MS"/>
          <w:color w:val="232323"/>
          <w:lang w:val="en-US"/>
        </w:rPr>
        <w:t>being</w:t>
      </w:r>
      <w:r w:rsidR="00955A1A" w:rsidRPr="004B3F3C">
        <w:rPr>
          <w:rFonts w:eastAsia="Arial Unicode MS" w:cs="Arial Unicode MS"/>
          <w:color w:val="232323"/>
          <w:lang w:val="en-US"/>
        </w:rPr>
        <w:t xml:space="preserve">’ </w:t>
      </w:r>
      <w:r w:rsidR="00955A1A" w:rsidRPr="004B3F3C">
        <w:rPr>
          <w:rFonts w:eastAsia="Arial Unicode MS" w:cs="Arial Unicode MS"/>
          <w:color w:val="232323"/>
          <w:lang w:val="en-US"/>
        </w:rPr>
        <w:fldChar w:fldCharType="begin"/>
      </w:r>
      <w:r w:rsidR="00955A1A" w:rsidRPr="004B3F3C">
        <w:rPr>
          <w:rFonts w:eastAsia="Arial Unicode MS" w:cs="Arial Unicode MS"/>
          <w:color w:val="232323"/>
          <w:lang w:val="en-US"/>
        </w:rPr>
        <w:instrText xml:space="preserve"> ADDIN EN.CITE &lt;EndNote&gt;&lt;Cite&gt;&lt;Author&gt;Sunday&lt;/Author&gt;&lt;Year&gt;2014&lt;/Year&gt;&lt;RecNum&gt;441&lt;/RecNum&gt;&lt;DisplayText&gt;(Sunday, Langillec et al. 2014)&lt;/DisplayText&gt;&lt;record&gt;&lt;rec-number&gt;441&lt;/rec-number&gt;&lt;foreign-keys&gt;&lt;key app="EN" db-id="9edprvffxr0024eawex5sw9irarrszt9vz09" timestamp="1432306868"&gt;441&lt;/key&gt;&lt;/foreign-keys&gt;&lt;ref-type name="Journal Article"&gt;17&lt;/ref-type&gt;&lt;contributors&gt;&lt;authors&gt;&lt;author&gt;Sunday, A&lt;/author&gt;&lt;author&gt;Langillec, D&lt;/author&gt;&lt;author&gt;Asbridgec, M&lt;/author&gt;&lt;/authors&gt;&lt;/contributors&gt;&lt;titles&gt;&lt;title&gt;An emerging adolescent health risk: Caffeinated energy drink consumption patterns among high school students&amp;#xD;&lt;/title&gt;&lt;secondary-title&gt;Preventive Medicine&lt;/secondary-title&gt;&lt;/titles&gt;&lt;periodical&gt;&lt;full-title&gt;Preventive Medicine&lt;/full-title&gt;&lt;/periodical&gt;&lt;pages&gt;54-59&lt;/pages&gt;&lt;volume&gt;62&lt;/volume&gt;&lt;number&gt;May&lt;/number&gt;&lt;dates&gt;&lt;year&gt;2014&lt;/year&gt;&lt;/dates&gt;&lt;urls&gt;&lt;/urls&gt;&lt;/record&gt;&lt;/Cite&gt;&lt;/EndNote&gt;</w:instrText>
      </w:r>
      <w:r w:rsidR="00955A1A" w:rsidRPr="004B3F3C">
        <w:rPr>
          <w:rFonts w:eastAsia="Arial Unicode MS" w:cs="Arial Unicode MS"/>
          <w:color w:val="232323"/>
          <w:lang w:val="en-US"/>
        </w:rPr>
        <w:fldChar w:fldCharType="separate"/>
      </w:r>
      <w:r w:rsidR="00955A1A" w:rsidRPr="004B3F3C">
        <w:rPr>
          <w:rFonts w:eastAsia="Arial Unicode MS" w:cs="Arial Unicode MS"/>
          <w:noProof/>
          <w:color w:val="232323"/>
          <w:lang w:val="en-US"/>
        </w:rPr>
        <w:t>(Sunday, Langillec et al. 2014)</w:t>
      </w:r>
      <w:r w:rsidR="00955A1A" w:rsidRPr="004B3F3C">
        <w:rPr>
          <w:rFonts w:eastAsia="Arial Unicode MS" w:cs="Arial Unicode MS"/>
          <w:color w:val="232323"/>
          <w:lang w:val="en-US"/>
        </w:rPr>
        <w:fldChar w:fldCharType="end"/>
      </w:r>
      <w:r w:rsidRPr="004B3F3C">
        <w:rPr>
          <w:rFonts w:eastAsia="Arial Unicode MS" w:cs="Arial Unicode MS"/>
          <w:color w:val="232323"/>
          <w:lang w:val="en-US"/>
        </w:rPr>
        <w:t>’</w:t>
      </w:r>
      <w:r w:rsidR="00F872C4" w:rsidRPr="004B3F3C">
        <w:rPr>
          <w:rFonts w:eastAsia="Arial Unicode MS" w:cs="Arial Unicode MS"/>
          <w:color w:val="232323"/>
          <w:lang w:val="en-US"/>
        </w:rPr>
        <w:t xml:space="preserve">. </w:t>
      </w:r>
      <w:r w:rsidRPr="004B3F3C">
        <w:rPr>
          <w:rFonts w:eastAsia="Arial Unicode MS" w:cs="Arial Unicode MS"/>
          <w:color w:val="232323"/>
          <w:lang w:val="en-US"/>
        </w:rPr>
        <w:t xml:space="preserve">Other studies have suggested increased links with higher levels of </w:t>
      </w:r>
      <w:r w:rsidR="008C2A63" w:rsidRPr="004B3F3C">
        <w:rPr>
          <w:rFonts w:eastAsia="Arial Unicode MS" w:cs="Arial Unicode MS"/>
          <w:color w:val="232323"/>
          <w:lang w:val="en-US"/>
        </w:rPr>
        <w:t>alcohol</w:t>
      </w:r>
      <w:r w:rsidRPr="004B3F3C">
        <w:rPr>
          <w:rFonts w:eastAsia="Arial Unicode MS" w:cs="Arial Unicode MS"/>
          <w:color w:val="232323"/>
          <w:lang w:val="en-US"/>
        </w:rPr>
        <w:t xml:space="preserve"> consumption</w:t>
      </w:r>
      <w:r w:rsidR="00F872C4" w:rsidRPr="004B3F3C">
        <w:rPr>
          <w:rFonts w:eastAsia="Arial Unicode MS" w:cs="Arial Unicode MS"/>
          <w:color w:val="232323"/>
          <w:lang w:val="en-US"/>
        </w:rPr>
        <w:t xml:space="preserve"> </w:t>
      </w:r>
      <w:r w:rsidR="008C2A63" w:rsidRPr="004B3F3C">
        <w:rPr>
          <w:rFonts w:eastAsia="Arial Unicode MS" w:cs="Arial Unicode MS"/>
          <w:color w:val="232323"/>
          <w:lang w:val="en-US"/>
        </w:rPr>
        <w:t>in young people</w:t>
      </w:r>
      <w:r w:rsidRPr="004B3F3C">
        <w:rPr>
          <w:rFonts w:eastAsia="Arial Unicode MS" w:cs="Arial Unicode MS"/>
          <w:color w:val="232323"/>
          <w:lang w:val="en-US"/>
        </w:rPr>
        <w:t xml:space="preserve"> </w:t>
      </w:r>
      <w:r w:rsidR="00CF736A" w:rsidRPr="004B3F3C">
        <w:rPr>
          <w:rFonts w:eastAsia="Arial Unicode MS" w:cs="Arial Unicode MS"/>
          <w:color w:val="232323"/>
          <w:lang w:val="en-US"/>
        </w:rPr>
        <w:fldChar w:fldCharType="begin"/>
      </w:r>
      <w:r w:rsidR="00CF736A" w:rsidRPr="004B3F3C">
        <w:rPr>
          <w:rFonts w:eastAsia="Arial Unicode MS" w:cs="Arial Unicode MS"/>
          <w:color w:val="232323"/>
          <w:lang w:val="en-US"/>
        </w:rPr>
        <w:instrText xml:space="preserve"> ADDIN EN.CITE &lt;EndNote&gt;&lt;Cite&gt;&lt;Author&gt;Patrick&lt;/Author&gt;&lt;Year&gt;2014&lt;/Year&gt;&lt;RecNum&gt;442&lt;/RecNum&gt;&lt;DisplayText&gt;(Patrick and Maggs 2014)&lt;/DisplayText&gt;&lt;record&gt;&lt;rec-number&gt;442&lt;/rec-number&gt;&lt;foreign-keys&gt;&lt;key app="EN" db-id="9edprvffxr0024eawex5sw9irarrszt9vz09" timestamp="1432307160"&gt;442&lt;/key&gt;&lt;/foreign-keys&gt;&lt;ref-type name="Journal Article"&gt;17&lt;/ref-type&gt;&lt;contributors&gt;&lt;authors&gt;&lt;author&gt;Patrick, ME&lt;/author&gt;&lt;author&gt;Maggs, JL&lt;/author&gt;&lt;/authors&gt;&lt;/contributors&gt;&lt;titles&gt;&lt;title&gt;Energy Drinks and Alcohol: Links to Alcohol Behaviors and Consequences Across 56 Days&lt;/title&gt;&lt;secondary-title&gt;Journal of Adolescent Health&lt;/secondary-title&gt;&lt;/titles&gt;&lt;periodical&gt;&lt;full-title&gt;Journal of Adolescent Health&lt;/full-title&gt;&lt;/periodical&gt;&lt;pages&gt;454–459&lt;/pages&gt;&lt;volume&gt;54&lt;/volume&gt;&lt;number&gt;4&lt;/number&gt;&lt;dates&gt;&lt;year&gt;2014&lt;/year&gt;&lt;/dates&gt;&lt;urls&gt;&lt;/urls&gt;&lt;/record&gt;&lt;/Cite&gt;&lt;/EndNote&gt;</w:instrText>
      </w:r>
      <w:r w:rsidR="00CF736A" w:rsidRPr="004B3F3C">
        <w:rPr>
          <w:rFonts w:eastAsia="Arial Unicode MS" w:cs="Arial Unicode MS"/>
          <w:color w:val="232323"/>
          <w:lang w:val="en-US"/>
        </w:rPr>
        <w:fldChar w:fldCharType="separate"/>
      </w:r>
      <w:r w:rsidR="00CF736A" w:rsidRPr="004B3F3C">
        <w:rPr>
          <w:rFonts w:eastAsia="Arial Unicode MS" w:cs="Arial Unicode MS"/>
          <w:noProof/>
          <w:color w:val="232323"/>
          <w:lang w:val="en-US"/>
        </w:rPr>
        <w:t>(Patrick and Maggs 2014)</w:t>
      </w:r>
      <w:r w:rsidR="00CF736A" w:rsidRPr="004B3F3C">
        <w:rPr>
          <w:rFonts w:eastAsia="Arial Unicode MS" w:cs="Arial Unicode MS"/>
          <w:color w:val="232323"/>
          <w:lang w:val="en-US"/>
        </w:rPr>
        <w:fldChar w:fldCharType="end"/>
      </w:r>
      <w:r w:rsidRPr="004B3F3C">
        <w:rPr>
          <w:rFonts w:eastAsia="Arial Unicode MS" w:cs="Arial Unicode MS"/>
          <w:color w:val="232323"/>
          <w:lang w:val="en-US"/>
        </w:rPr>
        <w:t xml:space="preserve"> </w:t>
      </w:r>
      <w:r w:rsidR="00190345" w:rsidRPr="004B3F3C">
        <w:rPr>
          <w:rFonts w:eastAsia="Arial Unicode MS" w:cs="Arial Unicode MS"/>
          <w:color w:val="232323"/>
          <w:lang w:val="en-US"/>
        </w:rPr>
        <w:t xml:space="preserve">and regular (weekly consumption) by young adults is also associated with being overweight </w:t>
      </w:r>
      <w:r w:rsidR="00190345" w:rsidRPr="004B3F3C">
        <w:rPr>
          <w:rFonts w:eastAsia="Arial Unicode MS" w:cs="Arial Unicode MS"/>
          <w:color w:val="232323"/>
          <w:lang w:val="en-US"/>
        </w:rPr>
        <w:fldChar w:fldCharType="begin"/>
      </w:r>
      <w:r w:rsidR="00190345" w:rsidRPr="004B3F3C">
        <w:rPr>
          <w:rFonts w:eastAsia="Arial Unicode MS" w:cs="Arial Unicode MS"/>
          <w:color w:val="232323"/>
          <w:lang w:val="en-US"/>
        </w:rPr>
        <w:instrText xml:space="preserve"> ADDIN EN.CITE &lt;EndNote&gt;&lt;Cite&gt;&lt;Author&gt;Karina&lt;/Author&gt;&lt;RecNum&gt;443&lt;/RecNum&gt;&lt;DisplayText&gt;(Karina, Lyng  et al. 2014)&lt;/DisplayText&gt;&lt;record&gt;&lt;rec-number&gt;443&lt;/rec-number&gt;&lt;foreign-keys&gt;&lt;key app="EN" db-id="9edprvffxr0024eawex5sw9irarrszt9vz09" timestamp="1432307836"&gt;443&lt;/key&gt;&lt;/foreign-keys&gt;&lt;ref-type name="Journal Article"&gt;17&lt;/ref-type&gt;&lt;contributors&gt;&lt;authors&gt;&lt;author&gt;Karina, F&lt;/author&gt;&lt;author&gt;Lyng , J I&lt;/author&gt;&lt;author&gt;Lasgaard , M&lt;/author&gt;&lt;author&gt;Larsen, FB&lt;/author&gt;&lt;/authors&gt;&lt;/contributors&gt;&lt;titles&gt;&lt;title&gt;Energy drink consumption and the relation to socio-demographic factors and health behaviour among young adults in Denmark. A population-based study &amp;#xD;&lt;/title&gt;&lt;secondary-title&gt;The European Journal of Public Health&lt;/secondary-title&gt;&lt;/titles&gt;&lt;periodical&gt;&lt;full-title&gt;The European Journal of Public Health&lt;/full-title&gt;&lt;/periodical&gt;&lt;volume&gt;DOI: http://dx.doi.org/10.1093/eurpub/cku003 840-844 First published online: 14 February 2014&lt;/volume&gt;&lt;dates&gt;&lt;year&gt;2014&lt;/year&gt;&lt;/dates&gt;&lt;urls&gt;&lt;/urls&gt;&lt;/record&gt;&lt;/Cite&gt;&lt;Cite&gt;&lt;Author&gt;Karina&lt;/Author&gt;&lt;Year&gt;2014&lt;/Year&gt;&lt;RecNum&gt;443&lt;/RecNum&gt;&lt;record&gt;&lt;rec-number&gt;443&lt;/rec-number&gt;&lt;foreign-keys&gt;&lt;key app="EN" db-id="9edprvffxr0024eawex5sw9irarrszt9vz09" timestamp="1432307836"&gt;443&lt;/key&gt;&lt;/foreign-keys&gt;&lt;ref-type name="Journal Article"&gt;17&lt;/ref-type&gt;&lt;contributors&gt;&lt;authors&gt;&lt;author&gt;Karina, F&lt;/author&gt;&lt;author&gt;Lyng , J I&lt;/author&gt;&lt;author&gt;Lasgaard , M&lt;/author&gt;&lt;author&gt;Larsen, FB&lt;/author&gt;&lt;/authors&gt;&lt;/contributors&gt;&lt;titles&gt;&lt;title&gt;Energy drink consumption and the relation to socio-demographic factors and health behaviour among young adults in Denmark. A population-based study &amp;#xD;&lt;/title&gt;&lt;secondary-title&gt;The European Journal of Public Health&lt;/secondary-title&gt;&lt;/titles&gt;&lt;periodical&gt;&lt;full-title&gt;The European Journal of Public Health&lt;/full-title&gt;&lt;/periodical&gt;&lt;volume&gt;DOI: http://dx.doi.org/10.1093/eurpub/cku003 840-844 First published online: 14 February 2014&lt;/volume&gt;&lt;dates&gt;&lt;year&gt;2014&lt;/year&gt;&lt;/dates&gt;&lt;urls&gt;&lt;/urls&gt;&lt;/record&gt;&lt;/Cite&gt;&lt;/EndNote&gt;</w:instrText>
      </w:r>
      <w:r w:rsidR="00190345" w:rsidRPr="004B3F3C">
        <w:rPr>
          <w:rFonts w:eastAsia="Arial Unicode MS" w:cs="Arial Unicode MS"/>
          <w:color w:val="232323"/>
          <w:lang w:val="en-US"/>
        </w:rPr>
        <w:fldChar w:fldCharType="separate"/>
      </w:r>
      <w:r w:rsidR="00190345" w:rsidRPr="004B3F3C">
        <w:rPr>
          <w:rFonts w:eastAsia="Arial Unicode MS" w:cs="Arial Unicode MS"/>
          <w:noProof/>
          <w:color w:val="232323"/>
          <w:lang w:val="en-US"/>
        </w:rPr>
        <w:t>(Karina, Lyng  et al. 2014)</w:t>
      </w:r>
      <w:r w:rsidR="00190345" w:rsidRPr="004B3F3C">
        <w:rPr>
          <w:rFonts w:eastAsia="Arial Unicode MS" w:cs="Arial Unicode MS"/>
          <w:color w:val="232323"/>
          <w:lang w:val="en-US"/>
        </w:rPr>
        <w:fldChar w:fldCharType="end"/>
      </w:r>
      <w:r w:rsidR="008C2A63" w:rsidRPr="004B3F3C">
        <w:rPr>
          <w:rFonts w:eastAsia="Arial Unicode MS" w:cs="Arial Unicode MS"/>
          <w:color w:val="232323"/>
          <w:lang w:val="en-US"/>
        </w:rPr>
        <w:t xml:space="preserve">. </w:t>
      </w:r>
    </w:p>
    <w:p w14:paraId="183BC5CB" w14:textId="01E06962" w:rsidR="00136898" w:rsidRPr="004B3F3C" w:rsidRDefault="00136898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lang w:val="en-US"/>
        </w:rPr>
      </w:pPr>
      <w:r w:rsidRPr="004B3F3C">
        <w:rPr>
          <w:color w:val="212121"/>
          <w:shd w:val="clear" w:color="auto" w:fill="FFFFFF"/>
        </w:rPr>
        <w:t xml:space="preserve">Under current EU labelling rules, any drink, other than tea or coffee, that contains over 150mg of caffeine per litre requires a warning label saying: ‘High caffeine content. Not recommended for children or pregnant or breast-feeding women’. In addition to </w:t>
      </w:r>
      <w:r w:rsidR="00701B70" w:rsidRPr="004B3F3C">
        <w:rPr>
          <w:color w:val="212121"/>
          <w:shd w:val="clear" w:color="auto" w:fill="FFFFFF"/>
        </w:rPr>
        <w:t xml:space="preserve">this </w:t>
      </w:r>
      <w:r w:rsidR="00701B70">
        <w:t xml:space="preserve">the UK voluntary ban on selling energy drinks the under 16s came </w:t>
      </w:r>
      <w:r w:rsidR="001D3C47">
        <w:t>into being</w:t>
      </w:r>
      <w:r w:rsidR="00701B70">
        <w:t xml:space="preserve"> </w:t>
      </w:r>
      <w:r w:rsidR="001D3C47">
        <w:t>in</w:t>
      </w:r>
      <w:r w:rsidR="00701B70">
        <w:t xml:space="preserve"> March 2018.</w:t>
      </w:r>
    </w:p>
    <w:p w14:paraId="4A72262A" w14:textId="77777777" w:rsidR="00136898" w:rsidRPr="004B3F3C" w:rsidRDefault="00136898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lang w:val="en-US"/>
        </w:rPr>
      </w:pPr>
    </w:p>
    <w:p w14:paraId="64ED473D" w14:textId="77777777" w:rsidR="00701B70" w:rsidRDefault="00701B70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b/>
          <w:i/>
          <w:lang w:val="en-US"/>
        </w:rPr>
      </w:pPr>
    </w:p>
    <w:p w14:paraId="45DE6559" w14:textId="2EAAAE4B" w:rsidR="0061687F" w:rsidRPr="004B3F3C" w:rsidRDefault="0061687F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b/>
          <w:i/>
          <w:lang w:val="en-US"/>
        </w:rPr>
      </w:pPr>
      <w:r w:rsidRPr="004B3F3C">
        <w:rPr>
          <w:rFonts w:cs="Arial"/>
          <w:b/>
          <w:i/>
          <w:lang w:val="en-US"/>
        </w:rPr>
        <w:lastRenderedPageBreak/>
        <w:t xml:space="preserve">Content of </w:t>
      </w:r>
      <w:r w:rsidR="008C2A63" w:rsidRPr="004B3F3C">
        <w:rPr>
          <w:rFonts w:cs="Arial"/>
          <w:b/>
          <w:i/>
          <w:lang w:val="en-US"/>
        </w:rPr>
        <w:t>Energy</w:t>
      </w:r>
      <w:r w:rsidRPr="004B3F3C">
        <w:rPr>
          <w:rFonts w:cs="Arial"/>
          <w:b/>
          <w:i/>
          <w:lang w:val="en-US"/>
        </w:rPr>
        <w:t xml:space="preserve"> Drinks</w:t>
      </w:r>
    </w:p>
    <w:p w14:paraId="531F8541" w14:textId="77777777" w:rsidR="0061687F" w:rsidRPr="004B3F3C" w:rsidRDefault="0061687F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lang w:val="en-US"/>
        </w:rPr>
      </w:pPr>
    </w:p>
    <w:p w14:paraId="1442728F" w14:textId="624B421D" w:rsidR="0061687F" w:rsidRPr="004B3F3C" w:rsidRDefault="0061687F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lang w:val="en-US"/>
        </w:rPr>
      </w:pPr>
      <w:r w:rsidRPr="004B3F3C">
        <w:rPr>
          <w:rFonts w:cs="Arial"/>
          <w:lang w:val="en-US"/>
        </w:rPr>
        <w:t>In the UK energy drinks are marketed under</w:t>
      </w:r>
      <w:r w:rsidR="00720026" w:rsidRPr="004B3F3C">
        <w:rPr>
          <w:rFonts w:cs="Arial"/>
          <w:lang w:val="en-US"/>
        </w:rPr>
        <w:t xml:space="preserve"> a range of</w:t>
      </w:r>
      <w:r w:rsidRPr="004B3F3C">
        <w:rPr>
          <w:rFonts w:cs="Arial"/>
          <w:lang w:val="en-US"/>
        </w:rPr>
        <w:t xml:space="preserve"> brand na</w:t>
      </w:r>
      <w:r w:rsidR="00932275" w:rsidRPr="004B3F3C">
        <w:rPr>
          <w:rFonts w:cs="Arial"/>
          <w:lang w:val="en-US"/>
        </w:rPr>
        <w:t xml:space="preserve">mes </w:t>
      </w:r>
      <w:r w:rsidR="00720026" w:rsidRPr="004B3F3C">
        <w:rPr>
          <w:rFonts w:cs="Arial"/>
          <w:lang w:val="en-US"/>
        </w:rPr>
        <w:t>for example,</w:t>
      </w:r>
      <w:r w:rsidR="00932275" w:rsidRPr="004B3F3C">
        <w:rPr>
          <w:rFonts w:cs="Arial"/>
          <w:lang w:val="en-US"/>
        </w:rPr>
        <w:t xml:space="preserve"> Monster or Red Bull but also include supermarket own brands. </w:t>
      </w:r>
    </w:p>
    <w:p w14:paraId="63D5802B" w14:textId="77777777" w:rsidR="00932275" w:rsidRPr="004B3F3C" w:rsidRDefault="00932275" w:rsidP="004B3F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="Arial"/>
          <w:lang w:val="en-US"/>
        </w:rPr>
      </w:pPr>
    </w:p>
    <w:p w14:paraId="73D744BB" w14:textId="0AAD4251" w:rsidR="00545C4B" w:rsidRPr="004B3F3C" w:rsidRDefault="00545C4B" w:rsidP="004B3F3C">
      <w:pPr>
        <w:spacing w:line="360" w:lineRule="auto"/>
        <w:contextualSpacing/>
      </w:pPr>
      <w:r w:rsidRPr="004B3F3C">
        <w:t xml:space="preserve">Energy drinks </w:t>
      </w:r>
      <w:r w:rsidR="00022526" w:rsidRPr="004B3F3C">
        <w:t xml:space="preserve">usually </w:t>
      </w:r>
      <w:r w:rsidRPr="004B3F3C">
        <w:t xml:space="preserve">contain some </w:t>
      </w:r>
      <w:r w:rsidR="0061687F" w:rsidRPr="004B3F3C">
        <w:t>variation</w:t>
      </w:r>
      <w:r w:rsidRPr="004B3F3C">
        <w:t xml:space="preserve"> on the following</w:t>
      </w:r>
      <w:r w:rsidR="0061687F" w:rsidRPr="004B3F3C">
        <w:t xml:space="preserve"> content</w:t>
      </w:r>
      <w:r w:rsidRPr="004B3F3C">
        <w:t xml:space="preserve"> </w:t>
      </w:r>
      <w:r w:rsidR="00932275" w:rsidRPr="004B3F3C">
        <w:t xml:space="preserve">and contain between 240-335 calories per standard serving size </w:t>
      </w:r>
      <w:r w:rsidR="00022526" w:rsidRPr="004B3F3C">
        <w:t>(approximately</w:t>
      </w:r>
      <w:r w:rsidR="00932275" w:rsidRPr="004B3F3C">
        <w:t xml:space="preserve"> 500 ml</w:t>
      </w:r>
      <w:r w:rsidR="00022526" w:rsidRPr="004B3F3C">
        <w:t>)</w:t>
      </w:r>
      <w:r w:rsidR="00932275" w:rsidRPr="004B3F3C">
        <w:t>.</w:t>
      </w:r>
    </w:p>
    <w:p w14:paraId="526108A6" w14:textId="2B5E6685" w:rsidR="00932275" w:rsidRPr="004B3F3C" w:rsidRDefault="00305429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color w:val="2A2A2A"/>
          <w:lang w:val="en-US"/>
        </w:rPr>
        <w:t>s</w:t>
      </w:r>
      <w:r w:rsidR="00932275" w:rsidRPr="004B3F3C">
        <w:rPr>
          <w:rFonts w:cs="Verdana"/>
          <w:b/>
          <w:color w:val="2A2A2A"/>
          <w:lang w:val="en-US"/>
        </w:rPr>
        <w:t>ugar</w:t>
      </w:r>
      <w:r w:rsidR="00932275" w:rsidRPr="004B3F3C">
        <w:rPr>
          <w:rFonts w:cs="Verdana"/>
          <w:color w:val="2A2A2A"/>
          <w:lang w:val="en-US"/>
        </w:rPr>
        <w:t xml:space="preserve"> – Energy drinks vary in the amount of sugar per standard drink but contain between 65g (</w:t>
      </w:r>
      <w:r w:rsidR="00022526" w:rsidRPr="004B3F3C">
        <w:rPr>
          <w:rFonts w:cs="Verdana"/>
          <w:color w:val="2A2A2A"/>
          <w:lang w:val="en-US"/>
        </w:rPr>
        <w:t>M</w:t>
      </w:r>
      <w:r w:rsidR="00932275" w:rsidRPr="004B3F3C">
        <w:rPr>
          <w:rFonts w:cs="Verdana"/>
          <w:color w:val="2A2A2A"/>
          <w:lang w:val="en-US"/>
        </w:rPr>
        <w:t xml:space="preserve">ountain </w:t>
      </w:r>
      <w:r w:rsidR="00022526" w:rsidRPr="004B3F3C">
        <w:rPr>
          <w:rFonts w:cs="Verdana"/>
          <w:color w:val="2A2A2A"/>
          <w:lang w:val="en-US"/>
        </w:rPr>
        <w:t>D</w:t>
      </w:r>
      <w:r w:rsidR="00932275" w:rsidRPr="004B3F3C">
        <w:rPr>
          <w:rFonts w:cs="Verdana"/>
          <w:color w:val="2A2A2A"/>
          <w:lang w:val="en-US"/>
        </w:rPr>
        <w:t xml:space="preserve">ew energy) to about 78g (Rockstar </w:t>
      </w:r>
      <w:r w:rsidR="003A4126" w:rsidRPr="004B3F3C">
        <w:rPr>
          <w:rFonts w:cs="Verdana"/>
          <w:color w:val="2A2A2A"/>
          <w:lang w:val="en-US"/>
        </w:rPr>
        <w:t>P</w:t>
      </w:r>
      <w:r w:rsidR="00932275" w:rsidRPr="004B3F3C">
        <w:rPr>
          <w:rFonts w:cs="Verdana"/>
          <w:color w:val="2A2A2A"/>
          <w:lang w:val="en-US"/>
        </w:rPr>
        <w:t>unched energy), this amount of sugar equates to between 16-20 teaspoons of sugar</w:t>
      </w:r>
      <w:r w:rsidR="00EC7302" w:rsidRPr="004B3F3C">
        <w:rPr>
          <w:rFonts w:cs="Verdana"/>
          <w:color w:val="2A2A2A"/>
          <w:lang w:val="en-US"/>
        </w:rPr>
        <w:t xml:space="preserve"> per can</w:t>
      </w:r>
      <w:r w:rsidR="00932275" w:rsidRPr="004B3F3C">
        <w:rPr>
          <w:rFonts w:cs="Verdana"/>
          <w:color w:val="2A2A2A"/>
          <w:lang w:val="en-US"/>
        </w:rPr>
        <w:t>.</w:t>
      </w:r>
    </w:p>
    <w:p w14:paraId="56F58D85" w14:textId="7F5BCBBA" w:rsidR="00545C4B" w:rsidRPr="004B3F3C" w:rsidRDefault="00545C4B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bCs/>
          <w:color w:val="2A2A2A"/>
          <w:lang w:val="en-US"/>
        </w:rPr>
        <w:t>caffeine</w:t>
      </w:r>
      <w:r w:rsidRPr="004B3F3C">
        <w:rPr>
          <w:rFonts w:cs="Verdana"/>
          <w:color w:val="2A2A2A"/>
          <w:lang w:val="en-US"/>
        </w:rPr>
        <w:t>—a stimulant that acts on the central nervous system to speed up the messages to and from the brain. Caffeine is the main active ingredient in energy drinks</w:t>
      </w:r>
      <w:r w:rsidR="00C43BE7">
        <w:rPr>
          <w:rFonts w:cs="Verdana"/>
          <w:color w:val="2A2A2A"/>
          <w:lang w:val="en-US"/>
        </w:rPr>
        <w:t xml:space="preserve">. </w:t>
      </w:r>
      <w:r w:rsidRPr="004B3F3C">
        <w:rPr>
          <w:rFonts w:cs="Verdana"/>
          <w:color w:val="2A2A2A"/>
          <w:lang w:val="en-US"/>
        </w:rPr>
        <w:t xml:space="preserve">There are around 40-50 mg in </w:t>
      </w:r>
      <w:r w:rsidR="00EC7302" w:rsidRPr="004B3F3C">
        <w:rPr>
          <w:rFonts w:cs="Verdana"/>
          <w:color w:val="2A2A2A"/>
          <w:lang w:val="en-US"/>
        </w:rPr>
        <w:t>250 ml of the average cola drink</w:t>
      </w:r>
      <w:r w:rsidRPr="004B3F3C">
        <w:rPr>
          <w:rFonts w:cs="Verdana"/>
          <w:color w:val="2A2A2A"/>
          <w:lang w:val="en-US"/>
        </w:rPr>
        <w:t>.</w:t>
      </w:r>
    </w:p>
    <w:p w14:paraId="254310BE" w14:textId="77777777" w:rsidR="00545C4B" w:rsidRPr="004B3F3C" w:rsidRDefault="00545C4B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bCs/>
          <w:color w:val="2A2A2A"/>
          <w:lang w:val="en-US"/>
        </w:rPr>
        <w:t>guarana</w:t>
      </w:r>
      <w:r w:rsidRPr="004B3F3C">
        <w:rPr>
          <w:rFonts w:cs="Verdana"/>
          <w:color w:val="2A2A2A"/>
          <w:lang w:val="en-US"/>
        </w:rPr>
        <w:t>—an extract from a plant that contains about twice the amount of caffeine as coffee beans</w:t>
      </w:r>
    </w:p>
    <w:p w14:paraId="18E6124E" w14:textId="77777777" w:rsidR="00545C4B" w:rsidRPr="004B3F3C" w:rsidRDefault="00545C4B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bCs/>
          <w:color w:val="2A2A2A"/>
          <w:lang w:val="en-US"/>
        </w:rPr>
        <w:t>theobromine</w:t>
      </w:r>
      <w:r w:rsidRPr="004B3F3C">
        <w:rPr>
          <w:rFonts w:cs="Verdana"/>
          <w:color w:val="2A2A2A"/>
          <w:lang w:val="en-US"/>
        </w:rPr>
        <w:t>—from the cacao plant. It has a similar effect to caffeine and is found in chocolate and many other foods</w:t>
      </w:r>
    </w:p>
    <w:p w14:paraId="4D59068A" w14:textId="77777777" w:rsidR="00545C4B" w:rsidRPr="004B3F3C" w:rsidRDefault="00545C4B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bCs/>
          <w:color w:val="2A2A2A"/>
          <w:lang w:val="en-US"/>
        </w:rPr>
        <w:t>theophylline</w:t>
      </w:r>
      <w:r w:rsidRPr="004B3F3C">
        <w:rPr>
          <w:rFonts w:cs="Verdana"/>
          <w:color w:val="2A2A2A"/>
          <w:lang w:val="en-US"/>
        </w:rPr>
        <w:t xml:space="preserve">—a drug used for the treatment of respiratory diseases and asthma, marketed under a variety of brand names. It is structurally </w:t>
      </w:r>
      <w:proofErr w:type="gramStart"/>
      <w:r w:rsidRPr="004B3F3C">
        <w:rPr>
          <w:rFonts w:cs="Verdana"/>
          <w:color w:val="2A2A2A"/>
          <w:lang w:val="en-US"/>
        </w:rPr>
        <w:t>similar to</w:t>
      </w:r>
      <w:proofErr w:type="gramEnd"/>
      <w:r w:rsidRPr="004B3F3C">
        <w:rPr>
          <w:rFonts w:cs="Verdana"/>
          <w:color w:val="2A2A2A"/>
          <w:lang w:val="en-US"/>
        </w:rPr>
        <w:t xml:space="preserve"> caffeine. It is also naturally found in tea at very small levels</w:t>
      </w:r>
    </w:p>
    <w:p w14:paraId="6B5CAB8E" w14:textId="77777777" w:rsidR="00545C4B" w:rsidRPr="004B3F3C" w:rsidRDefault="00545C4B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bCs/>
          <w:color w:val="2A2A2A"/>
          <w:lang w:val="en-US"/>
        </w:rPr>
        <w:t>taurine</w:t>
      </w:r>
      <w:r w:rsidRPr="004B3F3C">
        <w:rPr>
          <w:rFonts w:cs="Verdana"/>
          <w:color w:val="2A2A2A"/>
          <w:lang w:val="en-US"/>
        </w:rPr>
        <w:t>—occurs naturally in food, especially in seafood and meat, and is necessary for normal skeletal muscle functioning</w:t>
      </w:r>
    </w:p>
    <w:p w14:paraId="5D2E551B" w14:textId="401AE59D" w:rsidR="00545C4B" w:rsidRPr="004B3F3C" w:rsidRDefault="00545C4B" w:rsidP="004B3F3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cs="Verdana"/>
          <w:color w:val="2A2A2A"/>
          <w:lang w:val="en-US"/>
        </w:rPr>
      </w:pPr>
      <w:r w:rsidRPr="004B3F3C">
        <w:rPr>
          <w:rFonts w:cs="Verdana"/>
          <w:b/>
          <w:bCs/>
          <w:color w:val="2A2A2A"/>
          <w:lang w:val="en-US"/>
        </w:rPr>
        <w:t>ginseng</w:t>
      </w:r>
      <w:r w:rsidRPr="004B3F3C">
        <w:rPr>
          <w:rFonts w:cs="Verdana"/>
          <w:color w:val="2A2A2A"/>
          <w:lang w:val="en-US"/>
        </w:rPr>
        <w:t xml:space="preserve">—a substance that comes from a variety of plants and is believed to have medicinal </w:t>
      </w:r>
      <w:r w:rsidR="00C43BE7" w:rsidRPr="004B3F3C">
        <w:rPr>
          <w:rFonts w:cs="Verdana"/>
          <w:color w:val="2A2A2A"/>
          <w:lang w:val="en-US"/>
        </w:rPr>
        <w:t>properties but</w:t>
      </w:r>
      <w:r w:rsidRPr="004B3F3C">
        <w:rPr>
          <w:rFonts w:cs="Verdana"/>
          <w:color w:val="2A2A2A"/>
          <w:lang w:val="en-US"/>
        </w:rPr>
        <w:t xml:space="preserve"> has been found to interact with </w:t>
      </w:r>
      <w:proofErr w:type="gramStart"/>
      <w:r w:rsidRPr="004B3F3C">
        <w:rPr>
          <w:rFonts w:cs="Verdana"/>
          <w:color w:val="2A2A2A"/>
          <w:lang w:val="en-US"/>
        </w:rPr>
        <w:t>a number of</w:t>
      </w:r>
      <w:proofErr w:type="gramEnd"/>
      <w:r w:rsidRPr="004B3F3C">
        <w:rPr>
          <w:rFonts w:cs="Verdana"/>
          <w:color w:val="2A2A2A"/>
          <w:lang w:val="en-US"/>
        </w:rPr>
        <w:t xml:space="preserve"> prescription and herbal drugs.</w:t>
      </w:r>
    </w:p>
    <w:p w14:paraId="5CC29E16" w14:textId="7CD983AD" w:rsidR="008C2A63" w:rsidRPr="004B3F3C" w:rsidRDefault="00215771" w:rsidP="004B3F3C">
      <w:pPr>
        <w:spacing w:line="360" w:lineRule="auto"/>
        <w:contextualSpacing/>
        <w:rPr>
          <w:i/>
          <w:sz w:val="20"/>
          <w:szCs w:val="20"/>
        </w:rPr>
      </w:pPr>
      <w:r w:rsidRPr="004B3F3C">
        <w:rPr>
          <w:i/>
          <w:sz w:val="20"/>
          <w:szCs w:val="20"/>
        </w:rPr>
        <w:t>(</w:t>
      </w:r>
      <w:r w:rsidR="008C2A63" w:rsidRPr="004B3F3C">
        <w:rPr>
          <w:i/>
          <w:sz w:val="20"/>
          <w:szCs w:val="20"/>
        </w:rPr>
        <w:t xml:space="preserve">Source </w:t>
      </w:r>
      <w:r w:rsidR="006B326B" w:rsidRPr="004B3F3C">
        <w:rPr>
          <w:i/>
          <w:sz w:val="20"/>
          <w:szCs w:val="20"/>
        </w:rPr>
        <w:t>Australian Medical Journal 2012</w:t>
      </w:r>
      <w:r w:rsidRPr="004B3F3C">
        <w:rPr>
          <w:i/>
          <w:sz w:val="20"/>
          <w:szCs w:val="20"/>
        </w:rPr>
        <w:t>)</w:t>
      </w:r>
      <w:r w:rsidR="006B326B" w:rsidRPr="004B3F3C">
        <w:rPr>
          <w:i/>
          <w:sz w:val="20"/>
          <w:szCs w:val="20"/>
        </w:rPr>
        <w:t>.</w:t>
      </w:r>
    </w:p>
    <w:p w14:paraId="58849CF1" w14:textId="77777777" w:rsidR="00B1094F" w:rsidRPr="004B3F3C" w:rsidRDefault="00B1094F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br w:type="page"/>
      </w:r>
    </w:p>
    <w:p w14:paraId="7C6F33B4" w14:textId="62E79B2A" w:rsidR="00071C19" w:rsidRDefault="00930726" w:rsidP="004B3F3C">
      <w:pPr>
        <w:spacing w:line="360" w:lineRule="auto"/>
        <w:contextualSpacing/>
        <w:rPr>
          <w:b/>
          <w:sz w:val="24"/>
          <w:szCs w:val="24"/>
        </w:rPr>
      </w:pPr>
      <w:r w:rsidRPr="004B3F3C">
        <w:rPr>
          <w:b/>
          <w:sz w:val="24"/>
          <w:szCs w:val="24"/>
        </w:rPr>
        <w:lastRenderedPageBreak/>
        <w:t xml:space="preserve">Overview of Energy Drink Consumption Patterns </w:t>
      </w:r>
    </w:p>
    <w:p w14:paraId="6A388002" w14:textId="77777777" w:rsidR="00C43BE7" w:rsidRPr="004B3F3C" w:rsidRDefault="00C43BE7" w:rsidP="004B3F3C">
      <w:pPr>
        <w:spacing w:line="360" w:lineRule="auto"/>
        <w:contextualSpacing/>
        <w:rPr>
          <w:b/>
          <w:sz w:val="24"/>
          <w:szCs w:val="24"/>
        </w:rPr>
      </w:pPr>
    </w:p>
    <w:p w14:paraId="68A0323F" w14:textId="2D9B7257" w:rsidR="00D0426A" w:rsidRPr="004B3F3C" w:rsidRDefault="006B326B" w:rsidP="004B3F3C">
      <w:pPr>
        <w:spacing w:line="360" w:lineRule="auto"/>
        <w:contextualSpacing/>
      </w:pPr>
      <w:r w:rsidRPr="004B3F3C">
        <w:t>In the HBSC England study</w:t>
      </w:r>
      <w:r w:rsidR="00677126" w:rsidRPr="004B3F3C">
        <w:t>,</w:t>
      </w:r>
      <w:r w:rsidR="00A77D6A" w:rsidRPr="004B3F3C">
        <w:t xml:space="preserve"> 14% of young people aged 11-15</w:t>
      </w:r>
      <w:r w:rsidR="00045737" w:rsidRPr="004B3F3C">
        <w:t xml:space="preserve"> </w:t>
      </w:r>
      <w:r w:rsidR="004E5884" w:rsidRPr="004B3F3C">
        <w:t>report</w:t>
      </w:r>
      <w:r w:rsidRPr="004B3F3C">
        <w:t>ed</w:t>
      </w:r>
      <w:r w:rsidR="004E5884" w:rsidRPr="004B3F3C">
        <w:t xml:space="preserve"> consuming energy drinks</w:t>
      </w:r>
      <w:r w:rsidR="00831834" w:rsidRPr="004B3F3C">
        <w:t xml:space="preserve"> at least</w:t>
      </w:r>
      <w:r w:rsidR="004E5884" w:rsidRPr="004B3F3C">
        <w:t xml:space="preserve"> 2-4 times a week and </w:t>
      </w:r>
      <w:r w:rsidR="00071C19" w:rsidRPr="004B3F3C">
        <w:t>5</w:t>
      </w:r>
      <w:r w:rsidR="004E5884" w:rsidRPr="004B3F3C">
        <w:t xml:space="preserve"> % of all young people reported drinki</w:t>
      </w:r>
      <w:r w:rsidR="001D55D9" w:rsidRPr="004B3F3C">
        <w:t xml:space="preserve">ng energy drinks at least daily. Whereas </w:t>
      </w:r>
      <w:r w:rsidR="00D115C6" w:rsidRPr="004B3F3C">
        <w:t xml:space="preserve">53% </w:t>
      </w:r>
      <w:r w:rsidR="00A73BAC" w:rsidRPr="004B3F3C">
        <w:t xml:space="preserve">reported that they never </w:t>
      </w:r>
      <w:r w:rsidR="00831834" w:rsidRPr="004B3F3C">
        <w:t>consumed</w:t>
      </w:r>
      <w:r w:rsidR="00A73BAC" w:rsidRPr="004B3F3C">
        <w:t xml:space="preserve"> energy drinks. </w:t>
      </w:r>
    </w:p>
    <w:p w14:paraId="2D34DF98" w14:textId="1489F3D5" w:rsidR="000A51E7" w:rsidRPr="004B3F3C" w:rsidRDefault="00B1094F" w:rsidP="004B3F3C">
      <w:pPr>
        <w:spacing w:line="360" w:lineRule="auto"/>
        <w:contextualSpacing/>
      </w:pPr>
      <w:r w:rsidRPr="004B3F3C">
        <w:t>The levels of energy drink consumption among young people in the HBSC England study</w:t>
      </w:r>
      <w:r w:rsidR="000A51E7" w:rsidRPr="004B3F3C">
        <w:t xml:space="preserve"> </w:t>
      </w:r>
      <w:r w:rsidRPr="004B3F3C">
        <w:t xml:space="preserve">appears to be </w:t>
      </w:r>
      <w:r w:rsidR="00CF736A" w:rsidRPr="004B3F3C">
        <w:t xml:space="preserve">comparable </w:t>
      </w:r>
      <w:r w:rsidRPr="004B3F3C">
        <w:t xml:space="preserve">with </w:t>
      </w:r>
      <w:r w:rsidR="00CF736A" w:rsidRPr="004B3F3C">
        <w:t>consumption pattern</w:t>
      </w:r>
      <w:r w:rsidRPr="004B3F3C">
        <w:t>s</w:t>
      </w:r>
      <w:r w:rsidR="00CF736A" w:rsidRPr="004B3F3C">
        <w:t xml:space="preserve"> found in other international studies,</w:t>
      </w:r>
      <w:r w:rsidR="00190345" w:rsidRPr="004B3F3C">
        <w:t xml:space="preserve"> </w:t>
      </w:r>
      <w:r w:rsidR="006B326B" w:rsidRPr="004B3F3C">
        <w:t>for</w:t>
      </w:r>
      <w:r w:rsidR="00CF736A" w:rsidRPr="004B3F3C">
        <w:t xml:space="preserve"> example</w:t>
      </w:r>
      <w:r w:rsidRPr="004B3F3C">
        <w:t>,</w:t>
      </w:r>
      <w:r w:rsidR="00CF736A" w:rsidRPr="004B3F3C">
        <w:t xml:space="preserve"> in Denmark a weekly consumption rate of just over 15% was </w:t>
      </w:r>
      <w:r w:rsidR="00D115C6" w:rsidRPr="004B3F3C">
        <w:t xml:space="preserve">reported </w:t>
      </w:r>
      <w:r w:rsidR="00CF736A" w:rsidRPr="004B3F3C">
        <w:t>among young adults</w:t>
      </w:r>
      <w:r w:rsidR="00D720D9" w:rsidRPr="004B3F3C">
        <w:t xml:space="preserve"> (</w:t>
      </w:r>
      <w:r w:rsidR="00D720D9" w:rsidRPr="004B3F3C">
        <w:rPr>
          <w:noProof/>
        </w:rPr>
        <w:t>Seifert, Schaechter et al. 2011).</w:t>
      </w:r>
      <w:r w:rsidR="00190345" w:rsidRPr="004B3F3C">
        <w:t xml:space="preserve">  </w:t>
      </w:r>
      <w:r w:rsidR="003A4126" w:rsidRPr="004B3F3C">
        <w:t>Hig</w:t>
      </w:r>
      <w:r w:rsidR="00190345" w:rsidRPr="004B3F3C">
        <w:t xml:space="preserve">her rates </w:t>
      </w:r>
      <w:r w:rsidR="003A4126" w:rsidRPr="004B3F3C">
        <w:t xml:space="preserve">have been identified </w:t>
      </w:r>
      <w:r w:rsidR="00190345" w:rsidRPr="004B3F3C">
        <w:t>in</w:t>
      </w:r>
      <w:r w:rsidR="00215771" w:rsidRPr="004B3F3C">
        <w:t xml:space="preserve"> other European countries</w:t>
      </w:r>
      <w:r w:rsidR="003A4126" w:rsidRPr="004B3F3C">
        <w:t>, with the</w:t>
      </w:r>
      <w:r w:rsidR="00215771" w:rsidRPr="004B3F3C">
        <w:t xml:space="preserve"> highest consumption found in the </w:t>
      </w:r>
      <w:r w:rsidR="00190345" w:rsidRPr="004B3F3C">
        <w:t>USA</w:t>
      </w:r>
      <w:r w:rsidR="00CF736A" w:rsidRPr="004B3F3C">
        <w:t xml:space="preserve"> </w:t>
      </w:r>
      <w:r w:rsidR="00190345" w:rsidRPr="004B3F3C">
        <w:fldChar w:fldCharType="begin"/>
      </w:r>
      <w:r w:rsidR="006B326B" w:rsidRPr="004B3F3C">
        <w:instrText xml:space="preserve"> ADDIN EN.CITE &lt;EndNote&gt;&lt;Cite&gt;&lt;Author&gt;Seifert&lt;/Author&gt;&lt;Year&gt;2011&lt;/Year&gt;&lt;RecNum&gt;440&lt;/RecNum&gt;&lt;DisplayText&gt;(Seifert, Schaechter et al. 2011, Karina, Lyng  et al. 2014)&lt;/DisplayText&gt;&lt;record&gt;&lt;rec-number&gt;440&lt;/rec-number&gt;&lt;foreign-keys&gt;&lt;key app="EN" db-id="9edprvffxr0024eawex5sw9irarrszt9vz09" timestamp="1432305206"&gt;440&lt;/key&gt;&lt;/foreign-keys&gt;&lt;ref-type name="Journal Article"&gt;17&lt;/ref-type&gt;&lt;contributors&gt;&lt;authors&gt;&lt;author&gt;Seifert, SM&lt;/author&gt;&lt;author&gt;Schaechter, JL &lt;/author&gt;&lt;author&gt;Hershorin, ER&lt;/author&gt;&lt;author&gt;Lipshultz, SE&lt;/author&gt;&lt;/authors&gt;&lt;/contributors&gt;&lt;titles&gt;&lt;title&gt;Health Effects of Energy Drinks on Children, Adolescents, and Young Adults&lt;/title&gt;&lt;secondary-title&gt;Pediatrics&lt;/secondary-title&gt;&lt;/titles&gt;&lt;periodical&gt;&lt;full-title&gt;Pediatrics&lt;/full-title&gt;&lt;/periodical&gt;&lt;pages&gt;511-528&lt;/pages&gt;&lt;volume&gt;127&lt;/volume&gt;&lt;number&gt;3&lt;/number&gt;&lt;dates&gt;&lt;year&gt;2011&lt;/year&gt;&lt;/dates&gt;&lt;urls&gt;&lt;/urls&gt;&lt;/record&gt;&lt;/Cite&gt;&lt;Cite&gt;&lt;Author&gt;Karina&lt;/Author&gt;&lt;Year&gt;2014&lt;/Year&gt;&lt;RecNum&gt;443&lt;/RecNum&gt;&lt;record&gt;&lt;rec-number&gt;443&lt;/rec-number&gt;&lt;foreign-keys&gt;&lt;key app="EN" db-id="9edprvffxr0024eawex5sw9irarrszt9vz09" timestamp="1432307836"&gt;443&lt;/key&gt;&lt;/foreign-keys&gt;&lt;ref-type name="Journal Article"&gt;17&lt;/ref-type&gt;&lt;contributors&gt;&lt;authors&gt;&lt;author&gt;Karina, F&lt;/author&gt;&lt;author&gt;Lyng , J I&lt;/author&gt;&lt;author&gt;Lasgaard , M&lt;/author&gt;&lt;author&gt;Larsen, FB&lt;/author&gt;&lt;/authors&gt;&lt;/contributors&gt;&lt;titles&gt;&lt;title&gt;Energy drink consumption and the relation to socio-demographic factors and health behaviour among young adults in Denmark. A population-based study &amp;#xD;&lt;/title&gt;&lt;secondary-title&gt;The European Journal of Public Health&lt;/secondary-title&gt;&lt;/titles&gt;&lt;periodical&gt;&lt;full-title&gt;The European Journal of Public Health&lt;/full-title&gt;&lt;/periodical&gt;&lt;volume&gt;DOI: http://dx.doi.org/10.1093/eurpub/cku003 840-844 First published online: 14 February 2014&lt;/volume&gt;&lt;dates&gt;&lt;year&gt;2014&lt;/year&gt;&lt;/dates&gt;&lt;urls&gt;&lt;/urls&gt;&lt;/record&gt;&lt;/Cite&gt;&lt;/EndNote&gt;</w:instrText>
      </w:r>
      <w:r w:rsidR="00190345" w:rsidRPr="004B3F3C">
        <w:fldChar w:fldCharType="separate"/>
      </w:r>
      <w:r w:rsidR="006B326B" w:rsidRPr="004B3F3C">
        <w:rPr>
          <w:noProof/>
        </w:rPr>
        <w:t>(Karina, Lyng  et al. 2014)</w:t>
      </w:r>
      <w:r w:rsidR="00190345" w:rsidRPr="004B3F3C">
        <w:fldChar w:fldCharType="end"/>
      </w:r>
    </w:p>
    <w:p w14:paraId="54CBA38C" w14:textId="0B5BF6A4" w:rsidR="00D0426A" w:rsidRPr="004B3F3C" w:rsidRDefault="00A41C39" w:rsidP="004B3F3C">
      <w:pPr>
        <w:spacing w:line="360" w:lineRule="auto"/>
        <w:contextualSpacing/>
      </w:pPr>
      <w:r w:rsidRPr="004B3F3C">
        <w:t>B</w:t>
      </w:r>
      <w:r w:rsidR="00A73BAC" w:rsidRPr="004B3F3C">
        <w:t xml:space="preserve">oys were more likely to </w:t>
      </w:r>
      <w:r w:rsidR="00831834" w:rsidRPr="004B3F3C">
        <w:t xml:space="preserve">consume </w:t>
      </w:r>
      <w:r w:rsidR="00A73BAC" w:rsidRPr="004B3F3C">
        <w:t>energy drinks every day</w:t>
      </w:r>
      <w:r w:rsidR="00B56E2B" w:rsidRPr="004B3F3C">
        <w:t xml:space="preserve"> than girls</w:t>
      </w:r>
      <w:r w:rsidR="00B1094F" w:rsidRPr="004B3F3C">
        <w:t>,</w:t>
      </w:r>
      <w:r w:rsidR="00B56E2B" w:rsidRPr="004B3F3C">
        <w:t xml:space="preserve"> </w:t>
      </w:r>
      <w:r w:rsidR="00B01A78" w:rsidRPr="004B3F3C">
        <w:t>with girls being more likely</w:t>
      </w:r>
      <w:r w:rsidR="00D0426A" w:rsidRPr="004B3F3C">
        <w:t xml:space="preserve"> to report they never consumed</w:t>
      </w:r>
      <w:r w:rsidR="00B01A78" w:rsidRPr="004B3F3C">
        <w:t xml:space="preserve"> energy drinks.</w:t>
      </w:r>
      <w:r w:rsidR="00F034D3" w:rsidRPr="004B3F3C">
        <w:t xml:space="preserve"> Across all age groups </w:t>
      </w:r>
      <w:r w:rsidR="00D0426A" w:rsidRPr="004B3F3C">
        <w:t>a higher proportion of boys than girls reported consumin</w:t>
      </w:r>
      <w:r w:rsidR="00C27AC6" w:rsidRPr="004B3F3C">
        <w:t>g energy drinks</w:t>
      </w:r>
      <w:r w:rsidR="00F034D3" w:rsidRPr="004B3F3C">
        <w:t>,</w:t>
      </w:r>
      <w:r w:rsidR="00A969B4" w:rsidRPr="004B3F3C">
        <w:t xml:space="preserve"> either</w:t>
      </w:r>
      <w:r w:rsidR="00C27AC6" w:rsidRPr="004B3F3C">
        <w:t xml:space="preserve"> once a day </w:t>
      </w:r>
      <w:r w:rsidR="00A969B4" w:rsidRPr="004B3F3C">
        <w:t xml:space="preserve">or </w:t>
      </w:r>
      <w:r w:rsidR="00D0426A" w:rsidRPr="004B3F3C">
        <w:t>at least 2-4 times a week (</w:t>
      </w:r>
      <w:r w:rsidR="00BF3E5C" w:rsidRPr="004B3F3C">
        <w:t>T</w:t>
      </w:r>
      <w:r w:rsidR="00D0426A" w:rsidRPr="004B3F3C">
        <w:t>able 1)</w:t>
      </w:r>
      <w:r w:rsidR="008C2A63" w:rsidRPr="004B3F3C">
        <w:t xml:space="preserve"> This gendered</w:t>
      </w:r>
      <w:r w:rsidR="000A51E7" w:rsidRPr="004B3F3C">
        <w:t xml:space="preserve"> pattern of consumption with higher rates among males has also been found by other </w:t>
      </w:r>
      <w:r w:rsidR="008C2A63" w:rsidRPr="004B3F3C">
        <w:t>international</w:t>
      </w:r>
      <w:r w:rsidR="000A51E7" w:rsidRPr="004B3F3C">
        <w:t xml:space="preserve"> studies </w:t>
      </w:r>
      <w:r w:rsidR="00BC7F38" w:rsidRPr="004B3F3C">
        <w:fldChar w:fldCharType="begin"/>
      </w:r>
      <w:r w:rsidR="00BC7F38" w:rsidRPr="004B3F3C">
        <w:instrText xml:space="preserve"> ADDIN EN.CITE &lt;EndNote&gt;&lt;Cite&gt;&lt;Author&gt;Seifert&lt;/Author&gt;&lt;Year&gt;2011&lt;/Year&gt;&lt;RecNum&gt;440&lt;/RecNum&gt;&lt;DisplayText&gt;(Seifert, Schaechter et al. 2011)&lt;/DisplayText&gt;&lt;record&gt;&lt;rec-number&gt;440&lt;/rec-number&gt;&lt;foreign-keys&gt;&lt;key app="EN" db-id="9edprvffxr0024eawex5sw9irarrszt9vz09" timestamp="1432305206"&gt;440&lt;/key&gt;&lt;/foreign-keys&gt;&lt;ref-type name="Journal Article"&gt;17&lt;/ref-type&gt;&lt;contributors&gt;&lt;authors&gt;&lt;author&gt;Seifert, SM&lt;/author&gt;&lt;author&gt;Schaechter, JL &lt;/author&gt;&lt;author&gt;Hershorin, ER&lt;/author&gt;&lt;author&gt;Lipshultz, SE&lt;/author&gt;&lt;/authors&gt;&lt;/contributors&gt;&lt;titles&gt;&lt;title&gt;Health Effects of Energy Drinks on Children, Adolescents, and Young Adults&lt;/title&gt;&lt;secondary-title&gt;Pediatrics&lt;/secondary-title&gt;&lt;/titles&gt;&lt;periodical&gt;&lt;full-title&gt;Pediatrics&lt;/full-title&gt;&lt;/periodical&gt;&lt;pages&gt;511-528&lt;/pages&gt;&lt;volume&gt;127&lt;/volume&gt;&lt;number&gt;3&lt;/number&gt;&lt;dates&gt;&lt;year&gt;2011&lt;/year&gt;&lt;/dates&gt;&lt;urls&gt;&lt;/urls&gt;&lt;/record&gt;&lt;/Cite&gt;&lt;/EndNote&gt;</w:instrText>
      </w:r>
      <w:r w:rsidR="00BC7F38" w:rsidRPr="004B3F3C">
        <w:fldChar w:fldCharType="separate"/>
      </w:r>
      <w:r w:rsidR="00BC7F38" w:rsidRPr="004B3F3C">
        <w:rPr>
          <w:noProof/>
        </w:rPr>
        <w:t>(Seifert, Schaechter et al. 2011)</w:t>
      </w:r>
      <w:r w:rsidR="00BC7F38" w:rsidRPr="004B3F3C">
        <w:fldChar w:fldCharType="end"/>
      </w:r>
      <w:r w:rsidR="00BF3E5C" w:rsidRPr="004B3F3C">
        <w:t>.</w:t>
      </w:r>
    </w:p>
    <w:p w14:paraId="58D1D598" w14:textId="6211B742" w:rsidR="00A73BAC" w:rsidRPr="004B3F3C" w:rsidRDefault="00A41C39" w:rsidP="004B3F3C">
      <w:pPr>
        <w:spacing w:line="360" w:lineRule="auto"/>
        <w:contextualSpacing/>
      </w:pPr>
      <w:r w:rsidRPr="004B3F3C">
        <w:t xml:space="preserve">Older adolescents, both boys and girls </w:t>
      </w:r>
      <w:r w:rsidR="00A969B4" w:rsidRPr="004B3F3C">
        <w:t xml:space="preserve">also </w:t>
      </w:r>
      <w:r w:rsidRPr="004B3F3C">
        <w:t>report</w:t>
      </w:r>
      <w:r w:rsidR="00D0426A" w:rsidRPr="004B3F3C">
        <w:t>ed</w:t>
      </w:r>
      <w:r w:rsidRPr="004B3F3C">
        <w:t xml:space="preserve"> </w:t>
      </w:r>
      <w:r w:rsidR="00831834" w:rsidRPr="004B3F3C">
        <w:t>consuming</w:t>
      </w:r>
      <w:r w:rsidRPr="004B3F3C">
        <w:t xml:space="preserve"> more energy drinks than their younger peers (</w:t>
      </w:r>
      <w:r w:rsidR="00BF3E5C" w:rsidRPr="004B3F3C">
        <w:t>T</w:t>
      </w:r>
      <w:r w:rsidRPr="004B3F3C">
        <w:t xml:space="preserve">able 1). </w:t>
      </w:r>
      <w:r w:rsidR="000A51E7" w:rsidRPr="004B3F3C">
        <w:t xml:space="preserve">Other studies have also reported an </w:t>
      </w:r>
      <w:r w:rsidR="008C2A63" w:rsidRPr="004B3F3C">
        <w:t>increase</w:t>
      </w:r>
      <w:r w:rsidR="000A51E7" w:rsidRPr="004B3F3C">
        <w:t xml:space="preserve"> in consumption by age, for example one study found that 51% of college students </w:t>
      </w:r>
      <w:r w:rsidR="008C2A63" w:rsidRPr="004B3F3C">
        <w:t>regularly</w:t>
      </w:r>
      <w:r w:rsidR="000A51E7" w:rsidRPr="004B3F3C">
        <w:t xml:space="preserve"> consumed energy drinks </w:t>
      </w:r>
      <w:r w:rsidR="008C2A63" w:rsidRPr="004B3F3C">
        <w:t>several</w:t>
      </w:r>
      <w:r w:rsidR="00572C8B" w:rsidRPr="004B3F3C">
        <w:t xml:space="preserve"> times a week</w:t>
      </w:r>
      <w:r w:rsidR="00AB7E56" w:rsidRPr="004B3F3C">
        <w:t xml:space="preserve"> </w:t>
      </w:r>
      <w:r w:rsidR="00AB7E56" w:rsidRPr="004B3F3C">
        <w:fldChar w:fldCharType="begin"/>
      </w:r>
      <w:r w:rsidR="00AB7E56" w:rsidRPr="004B3F3C">
        <w:instrText xml:space="preserve"> ADDIN EN.CITE &lt;EndNote&gt;&lt;Cite&gt;&lt;Author&gt;Velazquez&lt;/Author&gt;&lt;Year&gt;2012&lt;/Year&gt;&lt;RecNum&gt;445&lt;/RecNum&gt;&lt;DisplayText&gt;(Velazquez, Poulos et al. 2012)&lt;/DisplayText&gt;&lt;record&gt;&lt;rec-number&gt;445&lt;/rec-number&gt;&lt;foreign-keys&gt;&lt;key app="EN" db-id="9edprvffxr0024eawex5sw9irarrszt9vz09" timestamp="1432808219"&gt;445&lt;/key&gt;&lt;/foreign-keys&gt;&lt;ref-type name="Journal Article"&gt;17&lt;/ref-type&gt;&lt;contributors&gt;&lt;authors&gt;&lt;author&gt;Velazquez, CE&lt;/author&gt;&lt;author&gt;Poulos, NS&lt;/author&gt;&lt;author&gt;Latimer, LA&lt;/author&gt;&lt;author&gt;Keryn, EP&lt;/author&gt;&lt;/authors&gt;&lt;/contributors&gt;&lt;titles&gt;&lt;title&gt;Associations between energy drink consumption and alcohol use behaviors among college students&amp;#xD;&lt;/title&gt;&lt;secondary-title&gt;Drug and Alcohol Dependence&lt;/secondary-title&gt;&lt;/titles&gt;&lt;periodical&gt;&lt;full-title&gt;Drug and Alcohol Dependence&lt;/full-title&gt;&lt;/periodical&gt;&lt;pages&gt;167-172&lt;/pages&gt;&lt;volume&gt;123&lt;/volume&gt;&lt;number&gt;1-3&lt;/number&gt;&lt;dates&gt;&lt;year&gt;2012&lt;/year&gt;&lt;/dates&gt;&lt;urls&gt;&lt;/urls&gt;&lt;/record&gt;&lt;/Cite&gt;&lt;/EndNote&gt;</w:instrText>
      </w:r>
      <w:r w:rsidR="00AB7E56" w:rsidRPr="004B3F3C">
        <w:fldChar w:fldCharType="separate"/>
      </w:r>
      <w:r w:rsidR="00AB7E56" w:rsidRPr="004B3F3C">
        <w:rPr>
          <w:noProof/>
        </w:rPr>
        <w:t>(Velazquez, Poulos et al. 2012)</w:t>
      </w:r>
      <w:r w:rsidR="00AB7E56" w:rsidRPr="004B3F3C">
        <w:fldChar w:fldCharType="end"/>
      </w:r>
      <w:r w:rsidR="00572C8B" w:rsidRPr="004B3F3C">
        <w:t>.</w:t>
      </w:r>
      <w:r w:rsidR="000A51E7" w:rsidRPr="004B3F3C">
        <w:t xml:space="preserve"> </w:t>
      </w:r>
    </w:p>
    <w:p w14:paraId="5A820078" w14:textId="77777777" w:rsidR="00D0426A" w:rsidRPr="004B3F3C" w:rsidRDefault="00D0426A" w:rsidP="004B3F3C">
      <w:pPr>
        <w:spacing w:line="360" w:lineRule="auto"/>
        <w:contextualSpacing/>
      </w:pPr>
    </w:p>
    <w:p w14:paraId="4CEEF83F" w14:textId="30627DBA" w:rsidR="00C43BE7" w:rsidRDefault="00C43BE7" w:rsidP="00C43BE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12121"/>
          <w:sz w:val="24"/>
          <w:szCs w:val="24"/>
          <w:lang w:eastAsia="en-GB"/>
        </w:rPr>
      </w:pPr>
      <w:r w:rsidRPr="00CD1C7A">
        <w:rPr>
          <w:rFonts w:eastAsia="Times New Roman" w:cs="Times New Roman"/>
          <w:b/>
          <w:bCs/>
          <w:color w:val="212121"/>
          <w:sz w:val="24"/>
          <w:szCs w:val="24"/>
          <w:lang w:eastAsia="en-GB"/>
        </w:rPr>
        <w:t>Table 1 Energy drink consumptio</w:t>
      </w:r>
      <w:r>
        <w:rPr>
          <w:rFonts w:eastAsia="Times New Roman" w:cs="Times New Roman"/>
          <w:b/>
          <w:bCs/>
          <w:color w:val="212121"/>
          <w:sz w:val="24"/>
          <w:szCs w:val="24"/>
          <w:lang w:eastAsia="en-GB"/>
        </w:rPr>
        <w:t>n</w:t>
      </w:r>
      <w:r w:rsidRPr="00CD1C7A">
        <w:rPr>
          <w:rFonts w:eastAsia="Times New Roman" w:cs="Times New Roman"/>
          <w:b/>
          <w:bCs/>
          <w:color w:val="212121"/>
          <w:sz w:val="24"/>
          <w:szCs w:val="24"/>
          <w:lang w:eastAsia="en-GB"/>
        </w:rPr>
        <w:t xml:space="preserve"> patterns by age and gender</w:t>
      </w:r>
    </w:p>
    <w:p w14:paraId="06B667C0" w14:textId="77777777" w:rsidR="00C43BE7" w:rsidRPr="00CD1C7A" w:rsidRDefault="00C43BE7" w:rsidP="00C43BE7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eastAsia="en-GB"/>
        </w:rPr>
      </w:pP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31"/>
        <w:gridCol w:w="631"/>
        <w:gridCol w:w="631"/>
        <w:gridCol w:w="631"/>
        <w:gridCol w:w="631"/>
        <w:gridCol w:w="562"/>
        <w:gridCol w:w="631"/>
        <w:gridCol w:w="562"/>
        <w:gridCol w:w="582"/>
        <w:gridCol w:w="562"/>
        <w:gridCol w:w="582"/>
        <w:gridCol w:w="562"/>
        <w:gridCol w:w="582"/>
        <w:gridCol w:w="608"/>
      </w:tblGrid>
      <w:tr w:rsidR="00C43BE7" w:rsidRPr="00CD1C7A" w14:paraId="55CF7D7F" w14:textId="77777777" w:rsidTr="00C43BE7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E29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1996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Never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76D1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Less than once a week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1C45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Once a week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75EE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2-4 days a week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16C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5-6 days a week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EE8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Once daily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EFDB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More than once daily</w:t>
            </w:r>
          </w:p>
        </w:tc>
      </w:tr>
      <w:tr w:rsidR="00C43BE7" w:rsidRPr="00CD1C7A" w14:paraId="5A0BCA6E" w14:textId="77777777" w:rsidTr="00C43BE7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624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2247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A12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718B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BEA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1E4C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3475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471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2E5A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E2DF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7D59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8E61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1147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BC2A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7C56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Girl</w:t>
            </w:r>
          </w:p>
        </w:tc>
      </w:tr>
      <w:tr w:rsidR="00C43BE7" w:rsidRPr="00CD1C7A" w14:paraId="53603FAC" w14:textId="77777777" w:rsidTr="00C43BE7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B9FA" w14:textId="74D79FA5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11-year olds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616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34A9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10A1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FD80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18%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120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AFF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7D63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EC9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4%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74D0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1121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CFFF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152B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00EA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F93B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1%</w:t>
            </w:r>
          </w:p>
        </w:tc>
      </w:tr>
      <w:tr w:rsidR="00C43BE7" w:rsidRPr="00CD1C7A" w14:paraId="6203EFBE" w14:textId="77777777" w:rsidTr="00C43BE7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9169" w14:textId="2081E139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13-year olds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4083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42%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B37D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8A5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13D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9F4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686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8%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8DC3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259E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E595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4E0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7EFF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BA4D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089F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7DC6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3%</w:t>
            </w:r>
          </w:p>
        </w:tc>
      </w:tr>
      <w:tr w:rsidR="00C43BE7" w:rsidRPr="00CD1C7A" w14:paraId="311B530C" w14:textId="77777777" w:rsidTr="00C43BE7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2B8E" w14:textId="6204A103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15-year olds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D721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E016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705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33%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132A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2B7E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56B7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916E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18D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7%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5E3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948E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F71C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B9D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A685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3879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</w:tr>
      <w:tr w:rsidR="00C43BE7" w:rsidRPr="00CD1C7A" w14:paraId="4E7F6002" w14:textId="77777777" w:rsidTr="00C43BE7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CC1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D124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44%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1C8F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62%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70F0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A2F8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E0A2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66D7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7%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2497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9%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90A5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5%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D0F9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C1CB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3A59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4B9E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1%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935C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1BA6" w14:textId="77777777" w:rsidR="00C43BE7" w:rsidRPr="00CD1C7A" w:rsidRDefault="00C43BE7" w:rsidP="006D1C61">
            <w:pPr>
              <w:spacing w:after="0" w:line="240" w:lineRule="auto"/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</w:pPr>
            <w:r w:rsidRPr="00CD1C7A">
              <w:rPr>
                <w:rFonts w:eastAsia="Times New Roman" w:cs="Times New Roman"/>
                <w:color w:val="212121"/>
                <w:sz w:val="24"/>
                <w:szCs w:val="24"/>
                <w:lang w:eastAsia="en-GB"/>
              </w:rPr>
              <w:t>2%</w:t>
            </w:r>
          </w:p>
        </w:tc>
      </w:tr>
    </w:tbl>
    <w:p w14:paraId="2A0F4289" w14:textId="77777777" w:rsidR="00C43BE7" w:rsidRDefault="00C43BE7" w:rsidP="004B3F3C">
      <w:pPr>
        <w:spacing w:line="360" w:lineRule="auto"/>
        <w:contextualSpacing/>
        <w:rPr>
          <w:b/>
          <w:i/>
        </w:rPr>
      </w:pPr>
    </w:p>
    <w:p w14:paraId="7087D68D" w14:textId="77777777" w:rsidR="00C43BE7" w:rsidRDefault="00C43BE7" w:rsidP="004B3F3C">
      <w:pPr>
        <w:spacing w:line="360" w:lineRule="auto"/>
        <w:contextualSpacing/>
        <w:rPr>
          <w:b/>
          <w:i/>
        </w:rPr>
      </w:pPr>
    </w:p>
    <w:p w14:paraId="36CBFE41" w14:textId="26784F52" w:rsidR="0084096B" w:rsidRPr="004B3F3C" w:rsidRDefault="0084096B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lastRenderedPageBreak/>
        <w:t>Energy drinks and free school meals (FSM)</w:t>
      </w:r>
    </w:p>
    <w:p w14:paraId="4AE5CDDE" w14:textId="73110E02" w:rsidR="0084096B" w:rsidRPr="004B3F3C" w:rsidRDefault="0084096B" w:rsidP="004B3F3C">
      <w:pPr>
        <w:spacing w:line="360" w:lineRule="auto"/>
        <w:contextualSpacing/>
      </w:pPr>
      <w:r w:rsidRPr="004B3F3C">
        <w:t xml:space="preserve">There appears to be an association between receiving FSM and drinking energy drinks, in that among those who say that they never drink energy drinks, or drink less than once a week, 11% of students receive FSM, whereas among students </w:t>
      </w:r>
      <w:r w:rsidR="00A101EF" w:rsidRPr="004B3F3C">
        <w:t>who report that</w:t>
      </w:r>
      <w:r w:rsidRPr="004B3F3C">
        <w:t xml:space="preserve"> they drink </w:t>
      </w:r>
      <w:r w:rsidR="00BF3E5C" w:rsidRPr="004B3F3C">
        <w:t>at least one energy drink a day</w:t>
      </w:r>
      <w:r w:rsidR="00A101EF" w:rsidRPr="004B3F3C">
        <w:t>,</w:t>
      </w:r>
      <w:r w:rsidR="00BF3E5C" w:rsidRPr="004B3F3C">
        <w:t xml:space="preserve"> </w:t>
      </w:r>
      <w:r w:rsidRPr="004B3F3C">
        <w:t xml:space="preserve">23% receive FSM and 16% who regularly consume energy drinks receive </w:t>
      </w:r>
      <w:r w:rsidR="00701B70" w:rsidRPr="004B3F3C">
        <w:t>FSM.</w:t>
      </w:r>
      <w:r w:rsidRPr="004B3F3C">
        <w:t xml:space="preserve"> In the HBSC England sample </w:t>
      </w:r>
      <w:proofErr w:type="gramStart"/>
      <w:r w:rsidRPr="004B3F3C">
        <w:t xml:space="preserve">as a whole </w:t>
      </w:r>
      <w:r w:rsidR="00A101EF" w:rsidRPr="004B3F3C">
        <w:t>13%</w:t>
      </w:r>
      <w:proofErr w:type="gramEnd"/>
      <w:r w:rsidRPr="004B3F3C">
        <w:t xml:space="preserve"> receive FSM. </w:t>
      </w:r>
    </w:p>
    <w:p w14:paraId="439893AA" w14:textId="77777777" w:rsidR="001D55D9" w:rsidRPr="004B3F3C" w:rsidRDefault="001D55D9" w:rsidP="004B3F3C">
      <w:pPr>
        <w:spacing w:line="360" w:lineRule="auto"/>
        <w:contextualSpacing/>
      </w:pPr>
    </w:p>
    <w:p w14:paraId="1839F923" w14:textId="2011666C" w:rsidR="00D47D31" w:rsidRPr="00C43BE7" w:rsidRDefault="00ED5788" w:rsidP="004B3F3C">
      <w:pPr>
        <w:spacing w:line="360" w:lineRule="auto"/>
        <w:contextualSpacing/>
        <w:rPr>
          <w:sz w:val="24"/>
          <w:szCs w:val="24"/>
        </w:rPr>
      </w:pPr>
      <w:r w:rsidRPr="004B3F3C">
        <w:rPr>
          <w:b/>
          <w:sz w:val="24"/>
          <w:szCs w:val="24"/>
        </w:rPr>
        <w:t>Health</w:t>
      </w:r>
      <w:r w:rsidR="001D55D9" w:rsidRPr="004B3F3C">
        <w:rPr>
          <w:b/>
          <w:sz w:val="24"/>
          <w:szCs w:val="24"/>
        </w:rPr>
        <w:t xml:space="preserve"> and Well–being </w:t>
      </w:r>
    </w:p>
    <w:p w14:paraId="61FD7BB0" w14:textId="77777777" w:rsidR="00C43BE7" w:rsidRDefault="00C43BE7" w:rsidP="004B3F3C">
      <w:pPr>
        <w:spacing w:line="360" w:lineRule="auto"/>
        <w:contextualSpacing/>
      </w:pPr>
    </w:p>
    <w:p w14:paraId="03176CAA" w14:textId="56930A42" w:rsidR="00D47D31" w:rsidRPr="004B3F3C" w:rsidRDefault="006B60FB" w:rsidP="004B3F3C">
      <w:pPr>
        <w:spacing w:line="360" w:lineRule="auto"/>
        <w:contextualSpacing/>
      </w:pPr>
      <w:r w:rsidRPr="004B3F3C">
        <w:t>Self</w:t>
      </w:r>
      <w:r w:rsidR="005768E0" w:rsidRPr="004B3F3C">
        <w:t>-</w:t>
      </w:r>
      <w:r w:rsidRPr="004B3F3C">
        <w:t>rated health and subjective life satisfaction are both markers for overall well-</w:t>
      </w:r>
      <w:r w:rsidR="00ED5788" w:rsidRPr="004B3F3C">
        <w:t>being, attainment and achievem</w:t>
      </w:r>
      <w:r w:rsidR="005602AA" w:rsidRPr="004B3F3C">
        <w:t>e</w:t>
      </w:r>
      <w:r w:rsidR="00ED5788" w:rsidRPr="004B3F3C">
        <w:t>nt</w:t>
      </w:r>
      <w:r w:rsidRPr="004B3F3C">
        <w:t xml:space="preserve"> in adolescence and future life chances. </w:t>
      </w:r>
    </w:p>
    <w:p w14:paraId="25C2F44D" w14:textId="77777777" w:rsidR="00C43BE7" w:rsidRDefault="00C43BE7" w:rsidP="004B3F3C">
      <w:pPr>
        <w:spacing w:line="360" w:lineRule="auto"/>
        <w:contextualSpacing/>
        <w:rPr>
          <w:b/>
          <w:i/>
        </w:rPr>
      </w:pPr>
    </w:p>
    <w:p w14:paraId="6F06F15D" w14:textId="547EF67D" w:rsidR="00D47D31" w:rsidRPr="004B3F3C" w:rsidRDefault="00D47D31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t>Self-rated health</w:t>
      </w:r>
    </w:p>
    <w:p w14:paraId="3D4DE499" w14:textId="4BBDAEB3" w:rsidR="006B60FB" w:rsidRPr="004B3F3C" w:rsidRDefault="0021585F" w:rsidP="004B3F3C">
      <w:pPr>
        <w:spacing w:line="360" w:lineRule="auto"/>
        <w:contextualSpacing/>
      </w:pPr>
      <w:r w:rsidRPr="004B3F3C">
        <w:t>I</w:t>
      </w:r>
      <w:r w:rsidR="005602AA" w:rsidRPr="004B3F3C">
        <w:t xml:space="preserve">n </w:t>
      </w:r>
      <w:r w:rsidR="00851F1A" w:rsidRPr="004B3F3C">
        <w:t>the</w:t>
      </w:r>
      <w:r w:rsidR="006B60FB" w:rsidRPr="004B3F3C">
        <w:t xml:space="preserve"> HBSC England </w:t>
      </w:r>
      <w:r w:rsidR="00851F1A" w:rsidRPr="004B3F3C">
        <w:t>general sample</w:t>
      </w:r>
      <w:r w:rsidR="006B60FB" w:rsidRPr="004B3F3C">
        <w:t xml:space="preserve"> 86% of young peo</w:t>
      </w:r>
      <w:r w:rsidR="005602AA" w:rsidRPr="004B3F3C">
        <w:t>ple rate</w:t>
      </w:r>
      <w:r w:rsidR="005768E0" w:rsidRPr="004B3F3C">
        <w:t>d</w:t>
      </w:r>
      <w:r w:rsidR="00ED5788" w:rsidRPr="004B3F3C">
        <w:t xml:space="preserve"> their health as good</w:t>
      </w:r>
      <w:r w:rsidR="006B60FB" w:rsidRPr="004B3F3C">
        <w:t xml:space="preserve"> or excellent </w:t>
      </w:r>
      <w:r w:rsidR="005768E0" w:rsidRPr="004B3F3C">
        <w:t>(Figure 1), with</w:t>
      </w:r>
      <w:r w:rsidR="006B60FB" w:rsidRPr="004B3F3C">
        <w:t xml:space="preserve"> this figure show</w:t>
      </w:r>
      <w:r w:rsidR="005768E0" w:rsidRPr="004B3F3C">
        <w:t>i</w:t>
      </w:r>
      <w:r w:rsidR="006B60FB" w:rsidRPr="004B3F3C">
        <w:t>n</w:t>
      </w:r>
      <w:r w:rsidR="005768E0" w:rsidRPr="004B3F3C">
        <w:t>g</w:t>
      </w:r>
      <w:r w:rsidR="006B60FB" w:rsidRPr="004B3F3C">
        <w:t xml:space="preserve"> an upward trend over the last decade</w:t>
      </w:r>
      <w:r w:rsidR="005768E0" w:rsidRPr="004B3F3C">
        <w:t>.</w:t>
      </w:r>
      <w:r w:rsidR="005602AA" w:rsidRPr="004B3F3C">
        <w:t xml:space="preserve"> (</w:t>
      </w:r>
      <w:r w:rsidR="005768E0" w:rsidRPr="004B3F3C">
        <w:t>T</w:t>
      </w:r>
      <w:r w:rsidRPr="004B3F3C">
        <w:t>his figure is very similar for those who never drink energy drinks (87%)</w:t>
      </w:r>
      <w:r w:rsidR="005768E0" w:rsidRPr="004B3F3C">
        <w:t>, however i</w:t>
      </w:r>
      <w:r w:rsidRPr="004B3F3C">
        <w:t>n comparison</w:t>
      </w:r>
      <w:r w:rsidR="00CF2005" w:rsidRPr="004B3F3C">
        <w:t>,</w:t>
      </w:r>
      <w:r w:rsidRPr="004B3F3C">
        <w:t xml:space="preserve"> 79% of those who regularly consume energy drinks rate their health as either good or excellent (</w:t>
      </w:r>
      <w:r w:rsidR="005768E0" w:rsidRPr="004B3F3C">
        <w:t>F</w:t>
      </w:r>
      <w:r w:rsidRPr="004B3F3C">
        <w:t>igure 2).</w:t>
      </w:r>
    </w:p>
    <w:p w14:paraId="11863CE0" w14:textId="45A229AA" w:rsidR="006B60FB" w:rsidRPr="004B3F3C" w:rsidRDefault="006B60FB" w:rsidP="004B3F3C">
      <w:pPr>
        <w:spacing w:line="360" w:lineRule="auto"/>
        <w:contextualSpacing/>
      </w:pPr>
      <w:r w:rsidRPr="004B3F3C">
        <w:t>There is also a marked gender difference</w:t>
      </w:r>
      <w:r w:rsidR="00851F1A" w:rsidRPr="004B3F3C">
        <w:t xml:space="preserve">, </w:t>
      </w:r>
      <w:r w:rsidRPr="004B3F3C">
        <w:t xml:space="preserve">girls who consume energy drinks </w:t>
      </w:r>
      <w:r w:rsidR="00851F1A" w:rsidRPr="004B3F3C">
        <w:t xml:space="preserve">are </w:t>
      </w:r>
      <w:r w:rsidRPr="004B3F3C">
        <w:t>much less likely</w:t>
      </w:r>
      <w:r w:rsidR="00ED5788" w:rsidRPr="004B3F3C">
        <w:t xml:space="preserve"> to report their health </w:t>
      </w:r>
      <w:r w:rsidR="00851F1A" w:rsidRPr="004B3F3C">
        <w:t>as being</w:t>
      </w:r>
      <w:r w:rsidRPr="004B3F3C">
        <w:t xml:space="preserve"> good or excellent than their male peers</w:t>
      </w:r>
      <w:r w:rsidR="00DD3095" w:rsidRPr="004B3F3C">
        <w:t xml:space="preserve"> who consume energy drinks or </w:t>
      </w:r>
      <w:r w:rsidRPr="004B3F3C">
        <w:t>their female peers who do not consume energy</w:t>
      </w:r>
      <w:r w:rsidR="00851F1A" w:rsidRPr="004B3F3C">
        <w:t xml:space="preserve"> drinks</w:t>
      </w:r>
      <w:r w:rsidR="005768E0" w:rsidRPr="004B3F3C">
        <w:t>.</w:t>
      </w:r>
    </w:p>
    <w:p w14:paraId="2BDB50EF" w14:textId="2665FB52" w:rsidR="00D9534C" w:rsidRPr="004B3F3C" w:rsidRDefault="00B43132" w:rsidP="004B3F3C">
      <w:pPr>
        <w:spacing w:line="360" w:lineRule="auto"/>
        <w:contextualSpacing/>
      </w:pPr>
      <w:r w:rsidRPr="004B3F3C">
        <w:t xml:space="preserve">For </w:t>
      </w:r>
      <w:r w:rsidR="00D9534C" w:rsidRPr="004B3F3C">
        <w:t xml:space="preserve">boys no </w:t>
      </w:r>
      <w:r w:rsidR="00D720D9" w:rsidRPr="004B3F3C">
        <w:t>substantial d</w:t>
      </w:r>
      <w:r w:rsidR="00D9534C" w:rsidRPr="004B3F3C">
        <w:t>ifference was found in terms of self</w:t>
      </w:r>
      <w:r w:rsidR="005768E0" w:rsidRPr="004B3F3C">
        <w:t>-</w:t>
      </w:r>
      <w:r w:rsidR="00D9534C" w:rsidRPr="004B3F3C">
        <w:t xml:space="preserve">rated health and between </w:t>
      </w:r>
      <w:r w:rsidR="005602AA" w:rsidRPr="004B3F3C">
        <w:t>energy</w:t>
      </w:r>
      <w:r w:rsidRPr="004B3F3C">
        <w:t xml:space="preserve"> drink consumption.</w:t>
      </w:r>
    </w:p>
    <w:p w14:paraId="2E159498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49276D1D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5CE34BA8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513850D8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394DAE2C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7E679075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21E16B92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78C045C7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12652971" w14:textId="77777777" w:rsidR="00C43BE7" w:rsidRDefault="00C43BE7" w:rsidP="004B3F3C">
      <w:pPr>
        <w:spacing w:line="360" w:lineRule="auto"/>
        <w:contextualSpacing/>
        <w:rPr>
          <w:b/>
          <w:bCs/>
        </w:rPr>
      </w:pPr>
    </w:p>
    <w:p w14:paraId="0C0F511A" w14:textId="77777777" w:rsidR="000F2ABB" w:rsidRDefault="000F2ABB" w:rsidP="004B3F3C">
      <w:pPr>
        <w:spacing w:line="360" w:lineRule="auto"/>
        <w:contextualSpacing/>
        <w:rPr>
          <w:b/>
          <w:bCs/>
        </w:rPr>
      </w:pPr>
    </w:p>
    <w:p w14:paraId="1BFFC764" w14:textId="77777777" w:rsidR="000F2ABB" w:rsidRDefault="000F2ABB" w:rsidP="004B3F3C">
      <w:pPr>
        <w:spacing w:line="360" w:lineRule="auto"/>
        <w:contextualSpacing/>
        <w:rPr>
          <w:b/>
          <w:bCs/>
        </w:rPr>
      </w:pPr>
    </w:p>
    <w:p w14:paraId="4913CAF8" w14:textId="42A701E0" w:rsidR="005602AA" w:rsidRPr="004B3F3C" w:rsidRDefault="005602AA" w:rsidP="004B3F3C">
      <w:pPr>
        <w:spacing w:line="360" w:lineRule="auto"/>
        <w:contextualSpacing/>
        <w:rPr>
          <w:b/>
        </w:rPr>
      </w:pPr>
      <w:r w:rsidRPr="004B3F3C">
        <w:rPr>
          <w:b/>
          <w:bCs/>
        </w:rPr>
        <w:lastRenderedPageBreak/>
        <w:t>Figure 1: Young people who reported their physical health to be 'good' or 'excellent' by age and gender</w:t>
      </w:r>
    </w:p>
    <w:p w14:paraId="175E5DD8" w14:textId="77777777" w:rsidR="005602AA" w:rsidRPr="004B3F3C" w:rsidRDefault="005602AA" w:rsidP="004B3F3C">
      <w:pPr>
        <w:spacing w:line="360" w:lineRule="auto"/>
        <w:contextualSpacing/>
      </w:pPr>
      <w:r w:rsidRPr="004B3F3C">
        <w:rPr>
          <w:noProof/>
          <w:lang w:eastAsia="en-GB"/>
        </w:rPr>
        <w:drawing>
          <wp:inline distT="0" distB="0" distL="0" distR="0" wp14:anchorId="1A42E177" wp14:editId="373AD057">
            <wp:extent cx="3896995" cy="2750024"/>
            <wp:effectExtent l="0" t="0" r="8255" b="127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F93284" w14:textId="77777777" w:rsidR="005602AA" w:rsidRPr="004B3F3C" w:rsidRDefault="005602AA" w:rsidP="004B3F3C">
      <w:pPr>
        <w:spacing w:line="360" w:lineRule="auto"/>
        <w:contextualSpacing/>
      </w:pPr>
    </w:p>
    <w:p w14:paraId="6FC94693" w14:textId="746646C1" w:rsidR="00781755" w:rsidRPr="004B3F3C" w:rsidRDefault="005602AA" w:rsidP="004B3F3C">
      <w:pPr>
        <w:spacing w:line="360" w:lineRule="auto"/>
        <w:contextualSpacing/>
        <w:rPr>
          <w:b/>
        </w:rPr>
      </w:pPr>
      <w:bookmarkStart w:id="1" w:name="_Hlk522198537"/>
      <w:r w:rsidRPr="004B3F3C">
        <w:rPr>
          <w:b/>
        </w:rPr>
        <w:t>Figure 2: P</w:t>
      </w:r>
      <w:r w:rsidR="00781755" w:rsidRPr="004B3F3C">
        <w:rPr>
          <w:b/>
        </w:rPr>
        <w:t>roportions of young people who rated their health as good or excellent and consume energy drinks 2-4 times a week, (by age and gender)</w:t>
      </w:r>
    </w:p>
    <w:p w14:paraId="17A561C0" w14:textId="413F8312" w:rsidR="00781755" w:rsidRPr="004B3F3C" w:rsidRDefault="00C50A9E" w:rsidP="00C50A9E">
      <w:pPr>
        <w:spacing w:line="360" w:lineRule="auto"/>
      </w:pPr>
      <w:r w:rsidRPr="004B3F3C">
        <w:rPr>
          <w:noProof/>
          <w:lang w:eastAsia="en-GB"/>
        </w:rPr>
        <w:drawing>
          <wp:inline distT="0" distB="0" distL="0" distR="0" wp14:anchorId="3C942BB2" wp14:editId="795330B6">
            <wp:extent cx="3964305" cy="2881223"/>
            <wp:effectExtent l="0" t="0" r="17145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DCD7A5" w14:textId="77777777" w:rsidR="00C43BE7" w:rsidRDefault="00C43BE7" w:rsidP="004B3F3C">
      <w:pPr>
        <w:spacing w:line="360" w:lineRule="auto"/>
        <w:contextualSpacing/>
        <w:rPr>
          <w:b/>
          <w:i/>
        </w:rPr>
      </w:pPr>
    </w:p>
    <w:bookmarkEnd w:id="1"/>
    <w:p w14:paraId="00F4B7AF" w14:textId="77777777" w:rsidR="00C43BE7" w:rsidRDefault="00C43BE7" w:rsidP="004B3F3C">
      <w:pPr>
        <w:spacing w:line="360" w:lineRule="auto"/>
        <w:contextualSpacing/>
        <w:rPr>
          <w:b/>
          <w:i/>
        </w:rPr>
      </w:pPr>
    </w:p>
    <w:p w14:paraId="1F8EB749" w14:textId="60498EB6" w:rsidR="005602AA" w:rsidRPr="004B3F3C" w:rsidRDefault="00D47D31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t>Life satisfaction</w:t>
      </w:r>
    </w:p>
    <w:p w14:paraId="7E087E06" w14:textId="59674877" w:rsidR="005602AA" w:rsidRPr="004B3F3C" w:rsidRDefault="005602AA" w:rsidP="004B3F3C">
      <w:pPr>
        <w:spacing w:line="360" w:lineRule="auto"/>
        <w:contextualSpacing/>
      </w:pPr>
      <w:r w:rsidRPr="004B3F3C">
        <w:t xml:space="preserve">64% of those who regularly consume energy drinks and 55% of </w:t>
      </w:r>
      <w:r w:rsidR="00F3631A" w:rsidRPr="004B3F3C">
        <w:t xml:space="preserve">daily consumers </w:t>
      </w:r>
      <w:r w:rsidRPr="004B3F3C">
        <w:t xml:space="preserve">rate their life satisfaction as high (score of 8-10 considered to be </w:t>
      </w:r>
      <w:r w:rsidRPr="004B3F3C">
        <w:rPr>
          <w:i/>
        </w:rPr>
        <w:t>thriving</w:t>
      </w:r>
      <w:r w:rsidR="00425B9E" w:rsidRPr="004B3F3C">
        <w:t>).</w:t>
      </w:r>
    </w:p>
    <w:p w14:paraId="79C5C29F" w14:textId="4C177EAC" w:rsidR="00027261" w:rsidRPr="004B3F3C" w:rsidRDefault="00027261" w:rsidP="004B3F3C">
      <w:pPr>
        <w:spacing w:line="360" w:lineRule="auto"/>
        <w:contextualSpacing/>
      </w:pPr>
      <w:r w:rsidRPr="004B3F3C">
        <w:lastRenderedPageBreak/>
        <w:t>In comparison</w:t>
      </w:r>
      <w:r w:rsidR="00F3631A" w:rsidRPr="004B3F3C">
        <w:t>, for</w:t>
      </w:r>
      <w:r w:rsidRPr="004B3F3C">
        <w:t xml:space="preserve"> the HBSC England general sample 74% of young people rate their life satisfaction as high</w:t>
      </w:r>
      <w:r w:rsidR="0021585F" w:rsidRPr="004B3F3C">
        <w:t xml:space="preserve"> and 84% of those who never drink energy drinks</w:t>
      </w:r>
      <w:r w:rsidRPr="004B3F3C">
        <w:t xml:space="preserve">. </w:t>
      </w:r>
    </w:p>
    <w:p w14:paraId="26D7AB8F" w14:textId="2F83A3B0" w:rsidR="005602AA" w:rsidRPr="004B3F3C" w:rsidRDefault="005E48CA" w:rsidP="004B3F3C">
      <w:pPr>
        <w:spacing w:line="360" w:lineRule="auto"/>
        <w:contextualSpacing/>
      </w:pPr>
      <w:r w:rsidRPr="004B3F3C">
        <w:t>Notably, t</w:t>
      </w:r>
      <w:r w:rsidR="00027261" w:rsidRPr="004B3F3C">
        <w:t xml:space="preserve">hose who consume energy drinks were also more likely to be among those </w:t>
      </w:r>
      <w:r w:rsidRPr="004B3F3C">
        <w:t>who report</w:t>
      </w:r>
      <w:r w:rsidR="00027261" w:rsidRPr="004B3F3C">
        <w:t xml:space="preserve"> very low life satisfaction (score of 0-4 </w:t>
      </w:r>
      <w:r w:rsidR="00027261" w:rsidRPr="004B3F3C">
        <w:rPr>
          <w:i/>
        </w:rPr>
        <w:t>struggling</w:t>
      </w:r>
      <w:r w:rsidR="0046370B" w:rsidRPr="004B3F3C">
        <w:t>)</w:t>
      </w:r>
      <w:r w:rsidRPr="004B3F3C">
        <w:t>.</w:t>
      </w:r>
      <w:r w:rsidR="00CF1122" w:rsidRPr="004B3F3C">
        <w:t xml:space="preserve"> See Figures 3 and 4 below.</w:t>
      </w:r>
    </w:p>
    <w:p w14:paraId="69D1A0AD" w14:textId="313784F4" w:rsidR="005E48CA" w:rsidRPr="004B3F3C" w:rsidRDefault="005E48CA" w:rsidP="004B3F3C">
      <w:pPr>
        <w:spacing w:line="360" w:lineRule="auto"/>
        <w:contextualSpacing/>
      </w:pPr>
      <w:r w:rsidRPr="004B3F3C">
        <w:t xml:space="preserve">Among girls who regularly consume energy drinks 49% report high life satisfaction compared to 69% of girls in the national </w:t>
      </w:r>
      <w:proofErr w:type="gramStart"/>
      <w:r w:rsidRPr="004B3F3C">
        <w:t>sample as a whole</w:t>
      </w:r>
      <w:proofErr w:type="gramEnd"/>
      <w:r w:rsidRPr="004B3F3C">
        <w:t>. Among boys there was less of a difference in terms of life satisfaction between regular energy drink consumers and the main sample (72% Vs 79%)</w:t>
      </w:r>
      <w:r w:rsidR="00470D5F" w:rsidRPr="004B3F3C">
        <w:t>.</w:t>
      </w:r>
    </w:p>
    <w:p w14:paraId="4D247F7D" w14:textId="0F87459F" w:rsidR="005E48CA" w:rsidRPr="004B3F3C" w:rsidRDefault="00FB45E3" w:rsidP="004B3F3C">
      <w:pPr>
        <w:keepNext/>
        <w:spacing w:line="360" w:lineRule="auto"/>
        <w:contextualSpacing/>
      </w:pPr>
      <w:r w:rsidRPr="004B3F3C">
        <w:rPr>
          <w:b/>
          <w:bCs/>
        </w:rPr>
        <w:t>Figure 3</w:t>
      </w:r>
      <w:r w:rsidR="005E48CA" w:rsidRPr="004B3F3C">
        <w:rPr>
          <w:b/>
          <w:bCs/>
        </w:rPr>
        <w:t xml:space="preserve">: Young people who reported </w:t>
      </w:r>
      <w:r w:rsidR="00C50A9E" w:rsidRPr="004B3F3C">
        <w:rPr>
          <w:b/>
          <w:bCs/>
        </w:rPr>
        <w:t>having ‘</w:t>
      </w:r>
      <w:r w:rsidR="005E48CA" w:rsidRPr="004B3F3C">
        <w:rPr>
          <w:b/>
          <w:bCs/>
        </w:rPr>
        <w:t xml:space="preserve">Low life satisfaction' (0 to 4 on </w:t>
      </w:r>
      <w:proofErr w:type="spellStart"/>
      <w:r w:rsidR="005E48CA" w:rsidRPr="004B3F3C">
        <w:rPr>
          <w:b/>
          <w:bCs/>
        </w:rPr>
        <w:t>Cantril</w:t>
      </w:r>
      <w:proofErr w:type="spellEnd"/>
      <w:r w:rsidR="005E48CA" w:rsidRPr="004B3F3C">
        <w:rPr>
          <w:b/>
          <w:bCs/>
        </w:rPr>
        <w:t xml:space="preserve"> ladder) by age and gender</w:t>
      </w:r>
    </w:p>
    <w:p w14:paraId="1E1F24AF" w14:textId="77777777" w:rsidR="00D47D31" w:rsidRPr="004B3F3C" w:rsidRDefault="00D47D31" w:rsidP="004B3F3C">
      <w:pPr>
        <w:spacing w:line="360" w:lineRule="auto"/>
        <w:contextualSpacing/>
      </w:pPr>
      <w:r w:rsidRPr="004B3F3C">
        <w:rPr>
          <w:noProof/>
          <w:lang w:eastAsia="en-GB"/>
        </w:rPr>
        <w:drawing>
          <wp:inline distT="0" distB="0" distL="0" distR="0" wp14:anchorId="5F6F2EC3" wp14:editId="0E139760">
            <wp:extent cx="4192270" cy="2562045"/>
            <wp:effectExtent l="0" t="0" r="17780" b="1016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B1E71F" w14:textId="77777777" w:rsidR="00373471" w:rsidRPr="004B3F3C" w:rsidRDefault="00373471" w:rsidP="004B3F3C">
      <w:pPr>
        <w:spacing w:line="360" w:lineRule="auto"/>
        <w:contextualSpacing/>
        <w:rPr>
          <w:b/>
        </w:rPr>
      </w:pPr>
    </w:p>
    <w:p w14:paraId="11A31F02" w14:textId="034F4F72" w:rsidR="00027261" w:rsidRPr="004B3F3C" w:rsidRDefault="005808F4" w:rsidP="004B3F3C">
      <w:pPr>
        <w:spacing w:line="360" w:lineRule="auto"/>
        <w:contextualSpacing/>
        <w:rPr>
          <w:b/>
        </w:rPr>
      </w:pPr>
      <w:r w:rsidRPr="004B3F3C">
        <w:rPr>
          <w:b/>
        </w:rPr>
        <w:t>Figure 4</w:t>
      </w:r>
      <w:r w:rsidR="00027261" w:rsidRPr="004B3F3C">
        <w:rPr>
          <w:b/>
        </w:rPr>
        <w:t>:</w:t>
      </w:r>
      <w:r w:rsidR="00373471" w:rsidRPr="004B3F3C">
        <w:rPr>
          <w:b/>
        </w:rPr>
        <w:t xml:space="preserve"> Proportions of</w:t>
      </w:r>
      <w:r w:rsidR="00027261" w:rsidRPr="004B3F3C">
        <w:rPr>
          <w:b/>
        </w:rPr>
        <w:t xml:space="preserve"> young people </w:t>
      </w:r>
      <w:r w:rsidR="00373471" w:rsidRPr="004B3F3C">
        <w:rPr>
          <w:b/>
        </w:rPr>
        <w:t>with</w:t>
      </w:r>
      <w:r w:rsidR="00027261" w:rsidRPr="004B3F3C">
        <w:rPr>
          <w:b/>
        </w:rPr>
        <w:t xml:space="preserve"> low life satisfaction </w:t>
      </w:r>
      <w:r w:rsidR="00373471" w:rsidRPr="004B3F3C">
        <w:rPr>
          <w:b/>
        </w:rPr>
        <w:t>and</w:t>
      </w:r>
      <w:r w:rsidR="00027261" w:rsidRPr="004B3F3C">
        <w:rPr>
          <w:b/>
        </w:rPr>
        <w:t xml:space="preserve"> who consume energy drinks 2-4 times a week</w:t>
      </w:r>
      <w:r w:rsidR="00373471" w:rsidRPr="004B3F3C">
        <w:rPr>
          <w:b/>
        </w:rPr>
        <w:t xml:space="preserve"> (</w:t>
      </w:r>
      <w:r w:rsidR="00027261" w:rsidRPr="004B3F3C">
        <w:rPr>
          <w:b/>
        </w:rPr>
        <w:t>by age and gender</w:t>
      </w:r>
      <w:r w:rsidR="00373471" w:rsidRPr="004B3F3C">
        <w:rPr>
          <w:b/>
        </w:rPr>
        <w:t>).</w:t>
      </w:r>
    </w:p>
    <w:p w14:paraId="39E93D6F" w14:textId="77777777" w:rsidR="00027261" w:rsidRPr="004B3F3C" w:rsidRDefault="00027261" w:rsidP="004B3F3C">
      <w:pPr>
        <w:spacing w:line="360" w:lineRule="auto"/>
        <w:contextualSpacing/>
      </w:pPr>
      <w:r w:rsidRPr="004B3F3C">
        <w:rPr>
          <w:noProof/>
          <w:lang w:eastAsia="en-GB"/>
        </w:rPr>
        <w:drawing>
          <wp:inline distT="0" distB="0" distL="0" distR="0" wp14:anchorId="43E69D85" wp14:editId="4B187B9E">
            <wp:extent cx="4175185" cy="2494280"/>
            <wp:effectExtent l="0" t="0" r="15875" b="127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04D7C3" w14:textId="77777777" w:rsidR="00200C51" w:rsidRDefault="00200C51" w:rsidP="004B3F3C">
      <w:pPr>
        <w:spacing w:line="360" w:lineRule="auto"/>
        <w:contextualSpacing/>
        <w:rPr>
          <w:b/>
          <w:i/>
        </w:rPr>
      </w:pPr>
    </w:p>
    <w:p w14:paraId="453F93C4" w14:textId="77777777" w:rsidR="009716F8" w:rsidRDefault="009716F8" w:rsidP="004B3F3C">
      <w:pPr>
        <w:spacing w:line="360" w:lineRule="auto"/>
        <w:contextualSpacing/>
        <w:rPr>
          <w:b/>
          <w:i/>
        </w:rPr>
      </w:pPr>
    </w:p>
    <w:p w14:paraId="7290CE26" w14:textId="554EA5E8" w:rsidR="00305429" w:rsidRPr="004B3F3C" w:rsidRDefault="00305429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lastRenderedPageBreak/>
        <w:t>Multiple health complaints</w:t>
      </w:r>
    </w:p>
    <w:p w14:paraId="6336A567" w14:textId="71848BA9" w:rsidR="00532426" w:rsidRPr="004B3F3C" w:rsidRDefault="00305429" w:rsidP="004B3F3C">
      <w:pPr>
        <w:spacing w:line="360" w:lineRule="auto"/>
        <w:contextualSpacing/>
      </w:pPr>
      <w:r w:rsidRPr="004B3F3C">
        <w:t xml:space="preserve">70% of </w:t>
      </w:r>
      <w:r w:rsidR="00C4128D" w:rsidRPr="004B3F3C">
        <w:t xml:space="preserve">daily </w:t>
      </w:r>
      <w:r w:rsidRPr="004B3F3C">
        <w:t xml:space="preserve">energy drinkers </w:t>
      </w:r>
      <w:r w:rsidR="00273434" w:rsidRPr="004B3F3C">
        <w:t xml:space="preserve">and </w:t>
      </w:r>
      <w:r w:rsidR="00504851" w:rsidRPr="004B3F3C">
        <w:t>63</w:t>
      </w:r>
      <w:r w:rsidR="00273434" w:rsidRPr="004B3F3C">
        <w:t>% of regular drinkers (2-4 times a week)</w:t>
      </w:r>
      <w:r w:rsidR="00677126" w:rsidRPr="004B3F3C">
        <w:t xml:space="preserve"> </w:t>
      </w:r>
      <w:r w:rsidRPr="004B3F3C">
        <w:t xml:space="preserve">reported having 2 </w:t>
      </w:r>
      <w:r w:rsidR="00677126" w:rsidRPr="004B3F3C">
        <w:t>or</w:t>
      </w:r>
      <w:r w:rsidRPr="004B3F3C">
        <w:t xml:space="preserve"> more health complaints compared to </w:t>
      </w:r>
      <w:r w:rsidR="00190BA2" w:rsidRPr="004B3F3C">
        <w:t>50%</w:t>
      </w:r>
      <w:r w:rsidRPr="004B3F3C">
        <w:t xml:space="preserve"> reported </w:t>
      </w:r>
      <w:r w:rsidR="00504851" w:rsidRPr="004B3F3C">
        <w:t>within</w:t>
      </w:r>
      <w:r w:rsidR="00677126" w:rsidRPr="004B3F3C">
        <w:t xml:space="preserve"> the HBSC sample </w:t>
      </w:r>
      <w:proofErr w:type="gramStart"/>
      <w:r w:rsidR="00677126" w:rsidRPr="004B3F3C">
        <w:t>as a whol</w:t>
      </w:r>
      <w:r w:rsidRPr="004B3F3C">
        <w:t>e</w:t>
      </w:r>
      <w:r w:rsidR="00190BA2" w:rsidRPr="004B3F3C">
        <w:t xml:space="preserve"> and</w:t>
      </w:r>
      <w:proofErr w:type="gramEnd"/>
      <w:r w:rsidR="00190BA2" w:rsidRPr="004B3F3C">
        <w:t xml:space="preserve"> </w:t>
      </w:r>
      <w:r w:rsidR="00850046" w:rsidRPr="004B3F3C">
        <w:rPr>
          <w:rFonts w:cs="Calibri"/>
          <w:lang w:val="en-US"/>
        </w:rPr>
        <w:t xml:space="preserve">43% of </w:t>
      </w:r>
      <w:r w:rsidR="00190BA2" w:rsidRPr="004B3F3C">
        <w:rPr>
          <w:rFonts w:cs="Calibri"/>
          <w:lang w:val="en-US"/>
        </w:rPr>
        <w:t>those who never drink energy drinks</w:t>
      </w:r>
      <w:r w:rsidR="00C7519B" w:rsidRPr="004B3F3C">
        <w:rPr>
          <w:rFonts w:cs="Calibri"/>
          <w:lang w:val="en-US"/>
        </w:rPr>
        <w:t xml:space="preserve"> (</w:t>
      </w:r>
      <w:r w:rsidR="00A12CF6" w:rsidRPr="004B3F3C">
        <w:rPr>
          <w:rFonts w:cs="Calibri"/>
          <w:lang w:val="en-US"/>
        </w:rPr>
        <w:t>T</w:t>
      </w:r>
      <w:r w:rsidR="00C7519B" w:rsidRPr="004B3F3C">
        <w:rPr>
          <w:rFonts w:cs="Calibri"/>
          <w:lang w:val="en-US"/>
        </w:rPr>
        <w:t>able 2)</w:t>
      </w:r>
      <w:r w:rsidR="00850046" w:rsidRPr="004B3F3C">
        <w:rPr>
          <w:rFonts w:cs="Calibri"/>
          <w:lang w:val="en-US"/>
        </w:rPr>
        <w:t>.</w:t>
      </w:r>
    </w:p>
    <w:p w14:paraId="03EA88FD" w14:textId="04EED513" w:rsidR="00167104" w:rsidRPr="004B3F3C" w:rsidRDefault="00167104" w:rsidP="004B3F3C">
      <w:pPr>
        <w:spacing w:line="360" w:lineRule="auto"/>
        <w:contextualSpacing/>
      </w:pPr>
      <w:r w:rsidRPr="004B3F3C">
        <w:t>The reporting of multiple health complaints is highly gendered</w:t>
      </w:r>
      <w:r w:rsidR="00C7519B" w:rsidRPr="004B3F3C">
        <w:t>,</w:t>
      </w:r>
      <w:r w:rsidRPr="004B3F3C">
        <w:t xml:space="preserve"> with girls generally </w:t>
      </w:r>
      <w:r w:rsidR="00A12CF6" w:rsidRPr="004B3F3C">
        <w:t xml:space="preserve">reporting </w:t>
      </w:r>
      <w:r w:rsidRPr="004B3F3C">
        <w:t>a higher frequency than boys</w:t>
      </w:r>
      <w:r w:rsidR="00D71650" w:rsidRPr="004B3F3C">
        <w:t xml:space="preserve"> (Figure 5)</w:t>
      </w:r>
      <w:r w:rsidRPr="004B3F3C">
        <w:t>. However</w:t>
      </w:r>
      <w:r w:rsidR="00A12CF6" w:rsidRPr="004B3F3C">
        <w:t>,</w:t>
      </w:r>
      <w:r w:rsidRPr="004B3F3C">
        <w:t xml:space="preserve"> among </w:t>
      </w:r>
      <w:proofErr w:type="gramStart"/>
      <w:r w:rsidRPr="004B3F3C">
        <w:t>15 year</w:t>
      </w:r>
      <w:proofErr w:type="gramEnd"/>
      <w:r w:rsidRPr="004B3F3C">
        <w:t xml:space="preserve"> girls who regularly consume energy drinks 87% reported having multiple health complaints 2 or more times a week, compared to 72%</w:t>
      </w:r>
      <w:r w:rsidR="00504851" w:rsidRPr="004B3F3C">
        <w:t xml:space="preserve"> of 15 </w:t>
      </w:r>
      <w:r w:rsidR="00C7519B" w:rsidRPr="004B3F3C">
        <w:t>-</w:t>
      </w:r>
      <w:r w:rsidR="00504851" w:rsidRPr="004B3F3C">
        <w:t>year old girls</w:t>
      </w:r>
      <w:r w:rsidRPr="004B3F3C">
        <w:t xml:space="preserve"> for the HBSC sample as a whole.</w:t>
      </w:r>
    </w:p>
    <w:p w14:paraId="565BFACC" w14:textId="77777777" w:rsidR="00200C51" w:rsidRDefault="00200C51" w:rsidP="004B3F3C">
      <w:pPr>
        <w:spacing w:line="360" w:lineRule="auto"/>
        <w:contextualSpacing/>
        <w:rPr>
          <w:b/>
        </w:rPr>
      </w:pPr>
    </w:p>
    <w:p w14:paraId="48033BFA" w14:textId="308E18D9" w:rsidR="008772D0" w:rsidRPr="004B3F3C" w:rsidRDefault="008772D0" w:rsidP="004B3F3C">
      <w:pPr>
        <w:spacing w:line="360" w:lineRule="auto"/>
        <w:contextualSpacing/>
        <w:rPr>
          <w:b/>
        </w:rPr>
      </w:pPr>
      <w:r w:rsidRPr="004B3F3C">
        <w:rPr>
          <w:b/>
        </w:rPr>
        <w:t>Table</w:t>
      </w:r>
      <w:r w:rsidR="00C7519B" w:rsidRPr="004B3F3C">
        <w:rPr>
          <w:b/>
        </w:rPr>
        <w:t xml:space="preserve"> 2</w:t>
      </w:r>
      <w:r w:rsidR="00677126" w:rsidRPr="004B3F3C">
        <w:rPr>
          <w:b/>
        </w:rPr>
        <w:t xml:space="preserve">: Proportion of young people who </w:t>
      </w:r>
      <w:r w:rsidRPr="004B3F3C">
        <w:rPr>
          <w:b/>
        </w:rPr>
        <w:t xml:space="preserve">reported having multiple health complaints 2 or more times a week and regular energy drinks consumption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9"/>
        <w:gridCol w:w="1127"/>
        <w:gridCol w:w="1134"/>
        <w:gridCol w:w="1021"/>
        <w:gridCol w:w="1105"/>
        <w:gridCol w:w="1305"/>
      </w:tblGrid>
      <w:tr w:rsidR="008772D0" w:rsidRPr="004B3F3C" w14:paraId="4D4EF2B6" w14:textId="77777777" w:rsidTr="009716F8">
        <w:tc>
          <w:tcPr>
            <w:tcW w:w="817" w:type="dxa"/>
          </w:tcPr>
          <w:p w14:paraId="64492061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1985" w:type="dxa"/>
            <w:gridSpan w:val="2"/>
          </w:tcPr>
          <w:p w14:paraId="646C0A1E" w14:textId="77777777" w:rsidR="008772D0" w:rsidRPr="004B3F3C" w:rsidRDefault="008772D0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11 years</w:t>
            </w:r>
          </w:p>
        </w:tc>
        <w:tc>
          <w:tcPr>
            <w:tcW w:w="2126" w:type="dxa"/>
            <w:gridSpan w:val="2"/>
          </w:tcPr>
          <w:p w14:paraId="1FCD1BC8" w14:textId="77777777" w:rsidR="008772D0" w:rsidRPr="004B3F3C" w:rsidRDefault="008772D0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13 years</w:t>
            </w:r>
          </w:p>
        </w:tc>
        <w:tc>
          <w:tcPr>
            <w:tcW w:w="2155" w:type="dxa"/>
            <w:gridSpan w:val="2"/>
          </w:tcPr>
          <w:p w14:paraId="1AAF9D4D" w14:textId="77777777" w:rsidR="008772D0" w:rsidRPr="004B3F3C" w:rsidRDefault="008772D0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15 years</w:t>
            </w:r>
          </w:p>
        </w:tc>
        <w:tc>
          <w:tcPr>
            <w:tcW w:w="2410" w:type="dxa"/>
            <w:gridSpan w:val="2"/>
          </w:tcPr>
          <w:p w14:paraId="5E325E0D" w14:textId="77777777" w:rsidR="008772D0" w:rsidRPr="004B3F3C" w:rsidRDefault="008772D0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 xml:space="preserve">Totals </w:t>
            </w:r>
          </w:p>
        </w:tc>
      </w:tr>
      <w:tr w:rsidR="008772D0" w:rsidRPr="004B3F3C" w14:paraId="462D09C8" w14:textId="77777777" w:rsidTr="009716F8">
        <w:tc>
          <w:tcPr>
            <w:tcW w:w="817" w:type="dxa"/>
          </w:tcPr>
          <w:p w14:paraId="68C20FB9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992" w:type="dxa"/>
          </w:tcPr>
          <w:p w14:paraId="77E223B7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993" w:type="dxa"/>
          </w:tcPr>
          <w:p w14:paraId="398118D2" w14:textId="643021BD" w:rsidR="008772D0" w:rsidRPr="004B3F3C" w:rsidRDefault="001116D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</w:t>
            </w:r>
            <w:r w:rsidR="00677126" w:rsidRPr="004B3F3C">
              <w:rPr>
                <w:b/>
              </w:rPr>
              <w:t xml:space="preserve"> drink 2-4 times a week</w:t>
            </w:r>
          </w:p>
        </w:tc>
        <w:tc>
          <w:tcPr>
            <w:tcW w:w="999" w:type="dxa"/>
          </w:tcPr>
          <w:p w14:paraId="28A1F500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1127" w:type="dxa"/>
          </w:tcPr>
          <w:p w14:paraId="6840CA21" w14:textId="2CF103FC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 a week</w:t>
            </w:r>
          </w:p>
        </w:tc>
        <w:tc>
          <w:tcPr>
            <w:tcW w:w="1134" w:type="dxa"/>
          </w:tcPr>
          <w:p w14:paraId="1897389F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1021" w:type="dxa"/>
          </w:tcPr>
          <w:p w14:paraId="7C63DD10" w14:textId="7211903C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 a week</w:t>
            </w:r>
          </w:p>
        </w:tc>
        <w:tc>
          <w:tcPr>
            <w:tcW w:w="1105" w:type="dxa"/>
          </w:tcPr>
          <w:p w14:paraId="1E249C96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305" w:type="dxa"/>
          </w:tcPr>
          <w:p w14:paraId="6E4A73BE" w14:textId="77777777" w:rsidR="00C7519B" w:rsidRPr="004B3F3C" w:rsidRDefault="00C7519B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</w:t>
            </w:r>
          </w:p>
          <w:p w14:paraId="7D97DE03" w14:textId="39472EB1" w:rsidR="008772D0" w:rsidRPr="004B3F3C" w:rsidRDefault="00677126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energy drink </w:t>
            </w:r>
            <w:r w:rsidR="008772D0" w:rsidRPr="004B3F3C">
              <w:rPr>
                <w:b/>
              </w:rPr>
              <w:t>2-4 times a week</w:t>
            </w:r>
          </w:p>
        </w:tc>
      </w:tr>
      <w:tr w:rsidR="008772D0" w:rsidRPr="004B3F3C" w14:paraId="6327E353" w14:textId="77777777" w:rsidTr="009716F8">
        <w:trPr>
          <w:trHeight w:val="568"/>
        </w:trPr>
        <w:tc>
          <w:tcPr>
            <w:tcW w:w="817" w:type="dxa"/>
          </w:tcPr>
          <w:p w14:paraId="48DD1EB0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Boy</w:t>
            </w:r>
          </w:p>
        </w:tc>
        <w:tc>
          <w:tcPr>
            <w:tcW w:w="992" w:type="dxa"/>
          </w:tcPr>
          <w:p w14:paraId="65EF2864" w14:textId="77C5C37A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41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993" w:type="dxa"/>
          </w:tcPr>
          <w:p w14:paraId="22ED7818" w14:textId="220F2D91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51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999" w:type="dxa"/>
          </w:tcPr>
          <w:p w14:paraId="0B24FC8D" w14:textId="1B8CCC7E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43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127" w:type="dxa"/>
          </w:tcPr>
          <w:p w14:paraId="24F959CF" w14:textId="708D569F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55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134" w:type="dxa"/>
          </w:tcPr>
          <w:p w14:paraId="0CF7109A" w14:textId="504F82FE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49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021" w:type="dxa"/>
          </w:tcPr>
          <w:p w14:paraId="7D449279" w14:textId="4E289660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59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105" w:type="dxa"/>
          </w:tcPr>
          <w:p w14:paraId="4AB42471" w14:textId="3D01169E" w:rsidR="008772D0" w:rsidRPr="004B3F3C" w:rsidRDefault="006929E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44%</w:t>
            </w:r>
          </w:p>
        </w:tc>
        <w:tc>
          <w:tcPr>
            <w:tcW w:w="1305" w:type="dxa"/>
          </w:tcPr>
          <w:p w14:paraId="7BE6DFE2" w14:textId="0C018957" w:rsidR="008772D0" w:rsidRPr="004B3F3C" w:rsidRDefault="00913B2F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55%</w:t>
            </w:r>
          </w:p>
        </w:tc>
      </w:tr>
      <w:tr w:rsidR="008772D0" w:rsidRPr="004B3F3C" w14:paraId="1436F85E" w14:textId="77777777" w:rsidTr="009716F8">
        <w:trPr>
          <w:trHeight w:val="587"/>
        </w:trPr>
        <w:tc>
          <w:tcPr>
            <w:tcW w:w="817" w:type="dxa"/>
          </w:tcPr>
          <w:p w14:paraId="0C48DB85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Girl</w:t>
            </w:r>
          </w:p>
        </w:tc>
        <w:tc>
          <w:tcPr>
            <w:tcW w:w="992" w:type="dxa"/>
          </w:tcPr>
          <w:p w14:paraId="621A342A" w14:textId="78E91D1F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44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993" w:type="dxa"/>
          </w:tcPr>
          <w:p w14:paraId="2250079A" w14:textId="3B53DE88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59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999" w:type="dxa"/>
          </w:tcPr>
          <w:p w14:paraId="73405856" w14:textId="038DC363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59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127" w:type="dxa"/>
          </w:tcPr>
          <w:p w14:paraId="0689E0B1" w14:textId="794111A9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68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134" w:type="dxa"/>
          </w:tcPr>
          <w:p w14:paraId="727DAD1B" w14:textId="15613B31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72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021" w:type="dxa"/>
          </w:tcPr>
          <w:p w14:paraId="5A66D799" w14:textId="061DB6F9" w:rsidR="008772D0" w:rsidRPr="004B3F3C" w:rsidRDefault="00A47A18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87</w:t>
            </w:r>
            <w:r w:rsidR="006929EC" w:rsidRPr="004B3F3C">
              <w:rPr>
                <w:b/>
              </w:rPr>
              <w:t>%</w:t>
            </w:r>
          </w:p>
        </w:tc>
        <w:tc>
          <w:tcPr>
            <w:tcW w:w="1105" w:type="dxa"/>
          </w:tcPr>
          <w:p w14:paraId="3669ECE9" w14:textId="6DCD9306" w:rsidR="008772D0" w:rsidRPr="004B3F3C" w:rsidRDefault="006929E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57%</w:t>
            </w:r>
          </w:p>
        </w:tc>
        <w:tc>
          <w:tcPr>
            <w:tcW w:w="1305" w:type="dxa"/>
          </w:tcPr>
          <w:p w14:paraId="18B288CE" w14:textId="31FE76B1" w:rsidR="008772D0" w:rsidRPr="004B3F3C" w:rsidRDefault="00913B2F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71%</w:t>
            </w:r>
          </w:p>
        </w:tc>
      </w:tr>
      <w:tr w:rsidR="008772D0" w:rsidRPr="004B3F3C" w14:paraId="2B12DB7E" w14:textId="77777777" w:rsidTr="009716F8">
        <w:trPr>
          <w:trHeight w:val="317"/>
        </w:trPr>
        <w:tc>
          <w:tcPr>
            <w:tcW w:w="817" w:type="dxa"/>
          </w:tcPr>
          <w:p w14:paraId="1BE2E419" w14:textId="77777777" w:rsidR="008772D0" w:rsidRPr="004B3F3C" w:rsidRDefault="008772D0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Totals </w:t>
            </w:r>
          </w:p>
        </w:tc>
        <w:tc>
          <w:tcPr>
            <w:tcW w:w="992" w:type="dxa"/>
          </w:tcPr>
          <w:p w14:paraId="6A556487" w14:textId="028E2F0A" w:rsidR="008772D0" w:rsidRPr="004B3F3C" w:rsidRDefault="006929E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43%</w:t>
            </w:r>
          </w:p>
        </w:tc>
        <w:tc>
          <w:tcPr>
            <w:tcW w:w="993" w:type="dxa"/>
          </w:tcPr>
          <w:p w14:paraId="68FE79E3" w14:textId="23AF4EA7" w:rsidR="008772D0" w:rsidRPr="004B3F3C" w:rsidRDefault="006929E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55%</w:t>
            </w:r>
          </w:p>
        </w:tc>
        <w:tc>
          <w:tcPr>
            <w:tcW w:w="999" w:type="dxa"/>
          </w:tcPr>
          <w:p w14:paraId="0596FA6C" w14:textId="1769231B" w:rsidR="008772D0" w:rsidRPr="004B3F3C" w:rsidRDefault="006929E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51%</w:t>
            </w:r>
          </w:p>
        </w:tc>
        <w:tc>
          <w:tcPr>
            <w:tcW w:w="1127" w:type="dxa"/>
          </w:tcPr>
          <w:p w14:paraId="0C11A581" w14:textId="37748366" w:rsidR="008772D0" w:rsidRPr="004B3F3C" w:rsidRDefault="006929E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62%</w:t>
            </w:r>
          </w:p>
        </w:tc>
        <w:tc>
          <w:tcPr>
            <w:tcW w:w="1134" w:type="dxa"/>
          </w:tcPr>
          <w:p w14:paraId="1C06F60B" w14:textId="28BECF63" w:rsidR="008772D0" w:rsidRPr="004B3F3C" w:rsidRDefault="00913B2F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61%</w:t>
            </w:r>
          </w:p>
        </w:tc>
        <w:tc>
          <w:tcPr>
            <w:tcW w:w="1021" w:type="dxa"/>
          </w:tcPr>
          <w:p w14:paraId="5219D5F8" w14:textId="3B26C429" w:rsidR="008772D0" w:rsidRPr="004B3F3C" w:rsidRDefault="00913B2F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73%</w:t>
            </w:r>
          </w:p>
        </w:tc>
        <w:tc>
          <w:tcPr>
            <w:tcW w:w="1105" w:type="dxa"/>
          </w:tcPr>
          <w:p w14:paraId="443259FE" w14:textId="59401F67" w:rsidR="008772D0" w:rsidRPr="004B3F3C" w:rsidRDefault="00913B2F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51%</w:t>
            </w:r>
          </w:p>
        </w:tc>
        <w:tc>
          <w:tcPr>
            <w:tcW w:w="1305" w:type="dxa"/>
          </w:tcPr>
          <w:p w14:paraId="5AB34960" w14:textId="0A1C44F6" w:rsidR="008772D0" w:rsidRPr="004B3F3C" w:rsidRDefault="00913B2F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63%</w:t>
            </w:r>
          </w:p>
        </w:tc>
      </w:tr>
    </w:tbl>
    <w:p w14:paraId="1783496A" w14:textId="77777777" w:rsidR="009716F8" w:rsidRDefault="009716F8" w:rsidP="004B3F3C">
      <w:pPr>
        <w:spacing w:line="360" w:lineRule="auto"/>
        <w:contextualSpacing/>
        <w:rPr>
          <w:b/>
          <w:bCs/>
        </w:rPr>
      </w:pPr>
    </w:p>
    <w:p w14:paraId="4287A371" w14:textId="2A62487A" w:rsidR="00305429" w:rsidRPr="004B3F3C" w:rsidRDefault="00305429" w:rsidP="004B3F3C">
      <w:pPr>
        <w:spacing w:line="360" w:lineRule="auto"/>
        <w:contextualSpacing/>
      </w:pPr>
      <w:r w:rsidRPr="004B3F3C">
        <w:rPr>
          <w:b/>
          <w:bCs/>
        </w:rPr>
        <w:t xml:space="preserve">Figure </w:t>
      </w:r>
      <w:r w:rsidR="00CA5CDF" w:rsidRPr="004B3F3C">
        <w:rPr>
          <w:b/>
          <w:bCs/>
        </w:rPr>
        <w:t>5</w:t>
      </w:r>
      <w:r w:rsidRPr="004B3F3C">
        <w:rPr>
          <w:b/>
          <w:bCs/>
        </w:rPr>
        <w:t>: Young people who report having 2 or more health complaints at least once a week by age and gender</w:t>
      </w:r>
    </w:p>
    <w:p w14:paraId="689608CE" w14:textId="3FA85183" w:rsidR="00305429" w:rsidRPr="004B3F3C" w:rsidRDefault="00200C51" w:rsidP="004B3F3C">
      <w:pPr>
        <w:spacing w:line="360" w:lineRule="auto"/>
        <w:ind w:left="360"/>
        <w:contextualSpacing/>
      </w:pPr>
      <w:r w:rsidRPr="004B3F3C">
        <w:rPr>
          <w:noProof/>
          <w:lang w:eastAsia="en-GB"/>
        </w:rPr>
        <w:drawing>
          <wp:inline distT="0" distB="0" distL="0" distR="0" wp14:anchorId="374BEA27" wp14:editId="696DA0A3">
            <wp:extent cx="4364355" cy="2605178"/>
            <wp:effectExtent l="0" t="0" r="17145" b="508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714A68" w14:textId="33404E8D" w:rsidR="00504851" w:rsidRPr="004B3F3C" w:rsidRDefault="00F27B45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lastRenderedPageBreak/>
        <w:t>Body image</w:t>
      </w:r>
    </w:p>
    <w:p w14:paraId="2C1CE70D" w14:textId="2DACD777" w:rsidR="00047C25" w:rsidRPr="004B3F3C" w:rsidRDefault="00047C25" w:rsidP="004B3F3C">
      <w:pPr>
        <w:spacing w:line="360" w:lineRule="auto"/>
        <w:contextualSpacing/>
      </w:pPr>
      <w:r w:rsidRPr="004B3F3C">
        <w:t>Given the high calorie content of energy drinks</w:t>
      </w:r>
      <w:r w:rsidR="00D71650" w:rsidRPr="004B3F3C">
        <w:t>,</w:t>
      </w:r>
      <w:r w:rsidRPr="004B3F3C">
        <w:t xml:space="preserve"> behaviours and perceptions that might relate to weight management issues were considered in relation to consumption of energy drinks. </w:t>
      </w:r>
    </w:p>
    <w:p w14:paraId="6961E67C" w14:textId="62E93493" w:rsidR="00F27B45" w:rsidRDefault="007241EB" w:rsidP="004B3F3C">
      <w:pPr>
        <w:spacing w:line="360" w:lineRule="auto"/>
        <w:contextualSpacing/>
      </w:pPr>
      <w:r w:rsidRPr="004B3F3C">
        <w:t>32% of those who regularly consume energy drinks reported their body was ‘too fat’</w:t>
      </w:r>
      <w:r w:rsidR="00D71650" w:rsidRPr="004B3F3C">
        <w:t>, which</w:t>
      </w:r>
      <w:r w:rsidR="00504851" w:rsidRPr="004B3F3C">
        <w:t xml:space="preserve"> is in</w:t>
      </w:r>
      <w:r w:rsidR="00D71650" w:rsidRPr="004B3F3C">
        <w:t xml:space="preserve"> </w:t>
      </w:r>
      <w:r w:rsidR="00504851" w:rsidRPr="004B3F3C">
        <w:t>line with the proportion (</w:t>
      </w:r>
      <w:r w:rsidR="00CF72F3" w:rsidRPr="004B3F3C">
        <w:t>30%</w:t>
      </w:r>
      <w:r w:rsidR="00504851" w:rsidRPr="004B3F3C">
        <w:t>)</w:t>
      </w:r>
      <w:r w:rsidR="00CF72F3" w:rsidRPr="004B3F3C">
        <w:t xml:space="preserve"> of</w:t>
      </w:r>
      <w:r w:rsidR="005F2D21" w:rsidRPr="004B3F3C">
        <w:t xml:space="preserve"> young people in the national sample report</w:t>
      </w:r>
      <w:r w:rsidR="00504851" w:rsidRPr="004B3F3C">
        <w:t>ing the same</w:t>
      </w:r>
      <w:r w:rsidR="005F2D21" w:rsidRPr="004B3F3C">
        <w:t xml:space="preserve">. </w:t>
      </w:r>
      <w:r w:rsidR="00CF72F3" w:rsidRPr="004B3F3C">
        <w:t>However, a</w:t>
      </w:r>
      <w:r w:rsidR="00F27B45" w:rsidRPr="004B3F3C">
        <w:t>mong girls who re</w:t>
      </w:r>
      <w:r w:rsidR="00B21D17" w:rsidRPr="004B3F3C">
        <w:t>gularly consume energy drinks 49% report</w:t>
      </w:r>
      <w:r w:rsidR="00CF72F3" w:rsidRPr="004B3F3C">
        <w:t>ed</w:t>
      </w:r>
      <w:r w:rsidR="00B21D17" w:rsidRPr="004B3F3C">
        <w:t xml:space="preserve"> that they are ‘too fat’</w:t>
      </w:r>
      <w:r w:rsidR="00047C25" w:rsidRPr="004B3F3C">
        <w:t>,</w:t>
      </w:r>
      <w:r w:rsidR="00B21D17" w:rsidRPr="004B3F3C">
        <w:t xml:space="preserve"> compared to </w:t>
      </w:r>
      <w:r w:rsidR="00CF72F3" w:rsidRPr="004B3F3C">
        <w:t xml:space="preserve">only </w:t>
      </w:r>
      <w:r w:rsidR="00B21D17" w:rsidRPr="004B3F3C">
        <w:t>38</w:t>
      </w:r>
      <w:r w:rsidR="00F27B45" w:rsidRPr="004B3F3C">
        <w:t>% of girls i</w:t>
      </w:r>
      <w:r w:rsidR="00CF72F3" w:rsidRPr="004B3F3C">
        <w:t>n the national sample</w:t>
      </w:r>
      <w:r w:rsidR="00F27B45" w:rsidRPr="004B3F3C">
        <w:t xml:space="preserve">. Among boys there was </w:t>
      </w:r>
      <w:r w:rsidR="00850046" w:rsidRPr="004B3F3C">
        <w:t xml:space="preserve">no </w:t>
      </w:r>
      <w:r w:rsidR="00D808D9" w:rsidRPr="004B3F3C">
        <w:t xml:space="preserve">considerable </w:t>
      </w:r>
      <w:proofErr w:type="spellStart"/>
      <w:r w:rsidR="00F27B45" w:rsidRPr="004B3F3C">
        <w:t>ifferen</w:t>
      </w:r>
      <w:r w:rsidR="00047C25" w:rsidRPr="004B3F3C">
        <w:t>ce</w:t>
      </w:r>
      <w:proofErr w:type="spellEnd"/>
      <w:r w:rsidR="00850046" w:rsidRPr="004B3F3C">
        <w:t xml:space="preserve"> between groups </w:t>
      </w:r>
      <w:r w:rsidR="00B21D17" w:rsidRPr="004B3F3C">
        <w:t xml:space="preserve">in terms of </w:t>
      </w:r>
      <w:r w:rsidR="00850046" w:rsidRPr="004B3F3C">
        <w:t>reporting their body size was ‘</w:t>
      </w:r>
      <w:r w:rsidR="00B21D17" w:rsidRPr="004B3F3C">
        <w:t xml:space="preserve">too </w:t>
      </w:r>
      <w:r w:rsidR="005F2D21" w:rsidRPr="004B3F3C">
        <w:t>fat</w:t>
      </w:r>
      <w:r w:rsidR="00850046" w:rsidRPr="004B3F3C">
        <w:t xml:space="preserve">’ </w:t>
      </w:r>
      <w:r w:rsidR="00B21D17" w:rsidRPr="004B3F3C">
        <w:t>(23%</w:t>
      </w:r>
      <w:r w:rsidR="00504851" w:rsidRPr="004B3F3C">
        <w:t xml:space="preserve"> regular consumers of energy drinks</w:t>
      </w:r>
      <w:r w:rsidR="00B21D17" w:rsidRPr="004B3F3C">
        <w:t xml:space="preserve"> Vs 22</w:t>
      </w:r>
      <w:r w:rsidR="00F27B45" w:rsidRPr="004B3F3C">
        <w:t>%</w:t>
      </w:r>
      <w:r w:rsidR="00504851" w:rsidRPr="004B3F3C">
        <w:t xml:space="preserve"> main sample</w:t>
      </w:r>
      <w:r w:rsidR="00F27B45" w:rsidRPr="004B3F3C">
        <w:t>)</w:t>
      </w:r>
      <w:r w:rsidR="00B21D17" w:rsidRPr="004B3F3C">
        <w:t>.</w:t>
      </w:r>
    </w:p>
    <w:p w14:paraId="2792D6ED" w14:textId="77777777" w:rsidR="009716F8" w:rsidRPr="004B3F3C" w:rsidRDefault="009716F8" w:rsidP="004B3F3C">
      <w:pPr>
        <w:spacing w:line="360" w:lineRule="auto"/>
        <w:contextualSpacing/>
      </w:pPr>
    </w:p>
    <w:p w14:paraId="2549E8DA" w14:textId="193A2C69" w:rsidR="00CF72F3" w:rsidRPr="004B3F3C" w:rsidRDefault="00CF72F3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t xml:space="preserve">Being on a diet </w:t>
      </w:r>
    </w:p>
    <w:p w14:paraId="503C19E4" w14:textId="08006D88" w:rsidR="00CF72F3" w:rsidRPr="004B3F3C" w:rsidRDefault="00504851" w:rsidP="004B3F3C">
      <w:pPr>
        <w:spacing w:line="360" w:lineRule="auto"/>
        <w:contextualSpacing/>
      </w:pPr>
      <w:r w:rsidRPr="004B3F3C">
        <w:t xml:space="preserve">Overall, </w:t>
      </w:r>
      <w:r w:rsidR="005F2D21" w:rsidRPr="004B3F3C">
        <w:t xml:space="preserve">16% of those who regularly consume energy drinks reported that they were currently on a diet or </w:t>
      </w:r>
      <w:r w:rsidR="001C5530" w:rsidRPr="004B3F3C">
        <w:t xml:space="preserve">doing something to lose weight, (in line with the </w:t>
      </w:r>
      <w:r w:rsidR="005F2D21" w:rsidRPr="004B3F3C">
        <w:t>national sample (14%)</w:t>
      </w:r>
      <w:r w:rsidR="001C5530" w:rsidRPr="004B3F3C">
        <w:t>)</w:t>
      </w:r>
      <w:r w:rsidR="005F2D21" w:rsidRPr="004B3F3C">
        <w:t xml:space="preserve">. </w:t>
      </w:r>
      <w:proofErr w:type="gramStart"/>
      <w:r w:rsidR="005F2D21" w:rsidRPr="004B3F3C">
        <w:t>However</w:t>
      </w:r>
      <w:proofErr w:type="gramEnd"/>
      <w:r w:rsidR="005F2D21" w:rsidRPr="004B3F3C">
        <w:t xml:space="preserve"> among girls who regularly consume energy drinks, 23% reported being on a diet or doing something to red</w:t>
      </w:r>
      <w:r w:rsidR="00CF72F3" w:rsidRPr="004B3F3C">
        <w:t>uce their weight compared to only</w:t>
      </w:r>
      <w:r w:rsidR="005F2D21" w:rsidRPr="004B3F3C">
        <w:t xml:space="preserve"> 17% of girls fro</w:t>
      </w:r>
      <w:r w:rsidR="00CF72F3" w:rsidRPr="004B3F3C">
        <w:t>m</w:t>
      </w:r>
      <w:r w:rsidR="005F2D21" w:rsidRPr="004B3F3C">
        <w:t xml:space="preserve"> the national sample. </w:t>
      </w:r>
      <w:r w:rsidR="00CF72F3" w:rsidRPr="004B3F3C">
        <w:t xml:space="preserve">Among boys there </w:t>
      </w:r>
      <w:r w:rsidR="00CF2005" w:rsidRPr="004B3F3C">
        <w:t xml:space="preserve">were no notable </w:t>
      </w:r>
      <w:r w:rsidR="00CF72F3" w:rsidRPr="004B3F3C">
        <w:t>difference</w:t>
      </w:r>
      <w:r w:rsidR="00CF2005" w:rsidRPr="004B3F3C">
        <w:t>s</w:t>
      </w:r>
      <w:r w:rsidR="00CF72F3" w:rsidRPr="004B3F3C">
        <w:t xml:space="preserve"> in terms of </w:t>
      </w:r>
      <w:r w:rsidRPr="004B3F3C">
        <w:t>dieting behaviours</w:t>
      </w:r>
      <w:r w:rsidR="00CF72F3" w:rsidRPr="004B3F3C">
        <w:t xml:space="preserve"> between regular energy drink consumers and the main sample (12% Vs 11%).</w:t>
      </w:r>
    </w:p>
    <w:p w14:paraId="6FE1C958" w14:textId="60712835" w:rsidR="005F2D21" w:rsidRPr="004B3F3C" w:rsidRDefault="005F2D21" w:rsidP="004B3F3C">
      <w:pPr>
        <w:spacing w:line="360" w:lineRule="auto"/>
        <w:contextualSpacing/>
      </w:pPr>
    </w:p>
    <w:p w14:paraId="31837F30" w14:textId="22A419DD" w:rsidR="00794A6B" w:rsidRPr="004B3F3C" w:rsidRDefault="00794A6B" w:rsidP="004B3F3C">
      <w:pPr>
        <w:spacing w:line="360" w:lineRule="auto"/>
        <w:contextualSpacing/>
      </w:pPr>
      <w:r w:rsidRPr="004B3F3C">
        <w:rPr>
          <w:b/>
          <w:sz w:val="24"/>
          <w:szCs w:val="24"/>
        </w:rPr>
        <w:t xml:space="preserve">Energy Drinks and Positive Health Behaviours </w:t>
      </w:r>
    </w:p>
    <w:p w14:paraId="1CB31FAB" w14:textId="77777777" w:rsidR="00794A6B" w:rsidRPr="004B3F3C" w:rsidRDefault="00794A6B" w:rsidP="004B3F3C">
      <w:pPr>
        <w:spacing w:line="360" w:lineRule="auto"/>
        <w:contextualSpacing/>
      </w:pPr>
    </w:p>
    <w:p w14:paraId="0A49CFDE" w14:textId="35C01A5B" w:rsidR="009C7E28" w:rsidRPr="004B3F3C" w:rsidRDefault="009C7E28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t xml:space="preserve">Five </w:t>
      </w:r>
      <w:r w:rsidR="00D073DD" w:rsidRPr="004B3F3C">
        <w:rPr>
          <w:b/>
          <w:i/>
        </w:rPr>
        <w:t>fruits</w:t>
      </w:r>
      <w:r w:rsidR="001D55D9" w:rsidRPr="004B3F3C">
        <w:rPr>
          <w:b/>
          <w:i/>
        </w:rPr>
        <w:t xml:space="preserve"> and vegetables</w:t>
      </w:r>
      <w:r w:rsidRPr="004B3F3C">
        <w:rPr>
          <w:b/>
          <w:i/>
        </w:rPr>
        <w:t xml:space="preserve"> a day </w:t>
      </w:r>
    </w:p>
    <w:p w14:paraId="53FA83CE" w14:textId="30FF4A71" w:rsidR="00A5757D" w:rsidRPr="004B3F3C" w:rsidRDefault="001025AA" w:rsidP="004B3F3C">
      <w:pPr>
        <w:spacing w:line="360" w:lineRule="auto"/>
        <w:contextualSpacing/>
      </w:pPr>
      <w:r w:rsidRPr="004B3F3C">
        <w:t>Slightly l</w:t>
      </w:r>
      <w:r w:rsidR="00523341" w:rsidRPr="004B3F3C">
        <w:t>ower</w:t>
      </w:r>
      <w:r w:rsidR="009C7E28" w:rsidRPr="004B3F3C">
        <w:t xml:space="preserve"> proportions of regular energy drinkers reported eating five</w:t>
      </w:r>
      <w:r w:rsidR="00A5757D" w:rsidRPr="004B3F3C">
        <w:t xml:space="preserve"> portions of fruit</w:t>
      </w:r>
      <w:r w:rsidR="009C7E28" w:rsidRPr="004B3F3C">
        <w:t xml:space="preserve"> and vegetables a day compared to</w:t>
      </w:r>
      <w:r w:rsidR="00523341" w:rsidRPr="004B3F3C">
        <w:t xml:space="preserve"> the</w:t>
      </w:r>
      <w:r w:rsidR="009C7E28" w:rsidRPr="004B3F3C">
        <w:t xml:space="preserve"> national </w:t>
      </w:r>
      <w:proofErr w:type="gramStart"/>
      <w:r w:rsidR="009C7E28" w:rsidRPr="004B3F3C">
        <w:t>sample</w:t>
      </w:r>
      <w:r w:rsidR="00F3631A" w:rsidRPr="004B3F3C">
        <w:t xml:space="preserve"> </w:t>
      </w:r>
      <w:r w:rsidR="009C7E28" w:rsidRPr="004B3F3C">
        <w:t>as a whole</w:t>
      </w:r>
      <w:proofErr w:type="gramEnd"/>
      <w:r w:rsidR="0046370B" w:rsidRPr="004B3F3C">
        <w:t xml:space="preserve"> </w:t>
      </w:r>
      <w:r w:rsidR="009C7E28" w:rsidRPr="004B3F3C">
        <w:t>(30</w:t>
      </w:r>
      <w:r w:rsidR="00A5757D" w:rsidRPr="004B3F3C">
        <w:t xml:space="preserve">% v.38%). </w:t>
      </w:r>
    </w:p>
    <w:p w14:paraId="6558B1A0" w14:textId="49A0984B" w:rsidR="00A5757D" w:rsidRPr="004B3F3C" w:rsidRDefault="00A5757D" w:rsidP="004B3F3C">
      <w:pPr>
        <w:spacing w:line="360" w:lineRule="auto"/>
        <w:contextualSpacing/>
      </w:pPr>
      <w:r w:rsidRPr="004B3F3C">
        <w:t xml:space="preserve">Young people who never drink energy drinks were more likely to report eating ‘five a day’ than those who consume energy drinks 2-4 times a day (42% v.30%). </w:t>
      </w:r>
    </w:p>
    <w:p w14:paraId="534C5A6A" w14:textId="4A9775AA" w:rsidR="009C7E28" w:rsidRPr="004B3F3C" w:rsidRDefault="00523341" w:rsidP="004B3F3C">
      <w:pPr>
        <w:spacing w:line="360" w:lineRule="auto"/>
        <w:contextualSpacing/>
      </w:pPr>
      <w:r w:rsidRPr="004B3F3C">
        <w:t xml:space="preserve">No </w:t>
      </w:r>
      <w:r w:rsidR="009716F8" w:rsidRPr="004B3F3C">
        <w:t>considerable gender</w:t>
      </w:r>
      <w:r w:rsidR="009C7E28" w:rsidRPr="004B3F3C">
        <w:t xml:space="preserve"> </w:t>
      </w:r>
      <w:r w:rsidRPr="004B3F3C">
        <w:t>differences were identified.</w:t>
      </w:r>
    </w:p>
    <w:p w14:paraId="557FC552" w14:textId="77777777" w:rsidR="009716F8" w:rsidRDefault="009716F8" w:rsidP="004B3F3C">
      <w:pPr>
        <w:spacing w:line="360" w:lineRule="auto"/>
        <w:contextualSpacing/>
        <w:rPr>
          <w:b/>
          <w:i/>
        </w:rPr>
      </w:pPr>
    </w:p>
    <w:p w14:paraId="01AB5548" w14:textId="2F89D366" w:rsidR="00966977" w:rsidRPr="004B3F3C" w:rsidRDefault="00966977" w:rsidP="004B3F3C">
      <w:pPr>
        <w:spacing w:line="360" w:lineRule="auto"/>
        <w:contextualSpacing/>
        <w:rPr>
          <w:b/>
          <w:i/>
        </w:rPr>
      </w:pPr>
      <w:r w:rsidRPr="004B3F3C">
        <w:rPr>
          <w:b/>
          <w:i/>
        </w:rPr>
        <w:t xml:space="preserve">Breakfast Eating </w:t>
      </w:r>
    </w:p>
    <w:p w14:paraId="2DEB322B" w14:textId="637A997A" w:rsidR="002108AE" w:rsidRPr="004B3F3C" w:rsidRDefault="004162C4" w:rsidP="004B3F3C">
      <w:pPr>
        <w:spacing w:line="360" w:lineRule="auto"/>
        <w:contextualSpacing/>
      </w:pPr>
      <w:r w:rsidRPr="004B3F3C">
        <w:t>Just over a third</w:t>
      </w:r>
      <w:r w:rsidR="00535407" w:rsidRPr="004B3F3C">
        <w:t xml:space="preserve"> (36</w:t>
      </w:r>
      <w:r w:rsidR="00CA4067" w:rsidRPr="004B3F3C">
        <w:t xml:space="preserve">%) </w:t>
      </w:r>
      <w:r w:rsidR="00E3294B" w:rsidRPr="004B3F3C">
        <w:t>of those who drink</w:t>
      </w:r>
      <w:r w:rsidR="00CA4067" w:rsidRPr="004B3F3C">
        <w:t xml:space="preserve"> energy drinks every day</w:t>
      </w:r>
      <w:r w:rsidR="00BD5EC2" w:rsidRPr="004B3F3C">
        <w:t xml:space="preserve"> and</w:t>
      </w:r>
      <w:r w:rsidRPr="004B3F3C">
        <w:t xml:space="preserve"> less than half</w:t>
      </w:r>
      <w:r w:rsidR="00BD5EC2" w:rsidRPr="004B3F3C">
        <w:t xml:space="preserve"> </w:t>
      </w:r>
      <w:r w:rsidRPr="004B3F3C">
        <w:t>(</w:t>
      </w:r>
      <w:r w:rsidR="005962C4" w:rsidRPr="004B3F3C">
        <w:t>48%</w:t>
      </w:r>
      <w:r w:rsidRPr="004B3F3C">
        <w:t>)</w:t>
      </w:r>
      <w:r w:rsidR="00BD5EC2" w:rsidRPr="004B3F3C">
        <w:t xml:space="preserve"> of those consume 2-4 times a week </w:t>
      </w:r>
      <w:r w:rsidR="00CA4067" w:rsidRPr="004B3F3C">
        <w:t xml:space="preserve">reported </w:t>
      </w:r>
      <w:r w:rsidR="006453F6" w:rsidRPr="004B3F3C">
        <w:t>eating breakfast 5 days a we</w:t>
      </w:r>
      <w:r w:rsidR="00045737" w:rsidRPr="004B3F3C">
        <w:t xml:space="preserve">ek </w:t>
      </w:r>
      <w:r w:rsidR="00831834" w:rsidRPr="004B3F3C">
        <w:t>compared to the HBSC overall figure of 6</w:t>
      </w:r>
      <w:r w:rsidR="00167104" w:rsidRPr="004B3F3C">
        <w:t>6</w:t>
      </w:r>
      <w:r w:rsidR="00831834" w:rsidRPr="004B3F3C">
        <w:t>%</w:t>
      </w:r>
      <w:r w:rsidRPr="004B3F3C">
        <w:t xml:space="preserve"> (Table 3).</w:t>
      </w:r>
    </w:p>
    <w:p w14:paraId="3F3802F5" w14:textId="77777777" w:rsidR="00D115C6" w:rsidRPr="004B3F3C" w:rsidRDefault="00D115C6" w:rsidP="004B3F3C">
      <w:pPr>
        <w:spacing w:line="360" w:lineRule="auto"/>
        <w:contextualSpacing/>
        <w:rPr>
          <w:b/>
        </w:rPr>
      </w:pPr>
    </w:p>
    <w:p w14:paraId="0BDC24F9" w14:textId="77777777" w:rsidR="00A55BBC" w:rsidRDefault="00A55BBC" w:rsidP="004B3F3C">
      <w:pPr>
        <w:spacing w:line="360" w:lineRule="auto"/>
        <w:contextualSpacing/>
        <w:rPr>
          <w:b/>
        </w:rPr>
      </w:pPr>
    </w:p>
    <w:p w14:paraId="32F06CB2" w14:textId="73FB5441" w:rsidR="005F065A" w:rsidRPr="004B3F3C" w:rsidRDefault="005F065A" w:rsidP="004B3F3C">
      <w:pPr>
        <w:spacing w:line="360" w:lineRule="auto"/>
        <w:contextualSpacing/>
        <w:rPr>
          <w:b/>
        </w:rPr>
      </w:pPr>
      <w:r w:rsidRPr="004B3F3C">
        <w:rPr>
          <w:b/>
        </w:rPr>
        <w:lastRenderedPageBreak/>
        <w:t xml:space="preserve">Table </w:t>
      </w:r>
      <w:r w:rsidR="004162C4" w:rsidRPr="004B3F3C">
        <w:rPr>
          <w:b/>
        </w:rPr>
        <w:t>3</w:t>
      </w:r>
      <w:r w:rsidR="00A9460C" w:rsidRPr="004B3F3C">
        <w:rPr>
          <w:b/>
        </w:rPr>
        <w:t xml:space="preserve"> P</w:t>
      </w:r>
      <w:r w:rsidRPr="004B3F3C">
        <w:rPr>
          <w:b/>
        </w:rPr>
        <w:t>roportion of young people who eat breakfast 5 days a week/every day during the week</w:t>
      </w:r>
      <w:r w:rsidR="00C70ACC" w:rsidRPr="004B3F3C">
        <w:rPr>
          <w:b/>
        </w:rPr>
        <w:t xml:space="preserve"> and daily energy drink consumption.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1"/>
        <w:gridCol w:w="1045"/>
        <w:gridCol w:w="986"/>
        <w:gridCol w:w="999"/>
        <w:gridCol w:w="1127"/>
        <w:gridCol w:w="1276"/>
        <w:gridCol w:w="1134"/>
        <w:gridCol w:w="992"/>
        <w:gridCol w:w="992"/>
      </w:tblGrid>
      <w:tr w:rsidR="00BD5EC2" w:rsidRPr="004B3F3C" w14:paraId="51B2C731" w14:textId="30698E27" w:rsidTr="00486B5D">
        <w:tc>
          <w:tcPr>
            <w:tcW w:w="771" w:type="dxa"/>
          </w:tcPr>
          <w:p w14:paraId="4C86B0AB" w14:textId="77777777" w:rsidR="00BD5EC2" w:rsidRPr="004B3F3C" w:rsidRDefault="00BD5EC2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2031" w:type="dxa"/>
            <w:gridSpan w:val="2"/>
          </w:tcPr>
          <w:p w14:paraId="66347F50" w14:textId="340277F7" w:rsidR="00BD5EC2" w:rsidRPr="004B3F3C" w:rsidRDefault="00BD5EC2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11 years</w:t>
            </w:r>
          </w:p>
        </w:tc>
        <w:tc>
          <w:tcPr>
            <w:tcW w:w="2126" w:type="dxa"/>
            <w:gridSpan w:val="2"/>
          </w:tcPr>
          <w:p w14:paraId="07050F2F" w14:textId="320191E6" w:rsidR="00BD5EC2" w:rsidRPr="004B3F3C" w:rsidRDefault="00BD5EC2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13 years</w:t>
            </w:r>
          </w:p>
        </w:tc>
        <w:tc>
          <w:tcPr>
            <w:tcW w:w="2410" w:type="dxa"/>
            <w:gridSpan w:val="2"/>
          </w:tcPr>
          <w:p w14:paraId="68243FDC" w14:textId="5DC10A2F" w:rsidR="00BD5EC2" w:rsidRPr="004B3F3C" w:rsidRDefault="00BD5EC2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15 years</w:t>
            </w:r>
          </w:p>
        </w:tc>
        <w:tc>
          <w:tcPr>
            <w:tcW w:w="1984" w:type="dxa"/>
            <w:gridSpan w:val="2"/>
          </w:tcPr>
          <w:p w14:paraId="5C7F29A9" w14:textId="4ACD21B6" w:rsidR="00BD5EC2" w:rsidRPr="004B3F3C" w:rsidRDefault="00BD5EC2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  <w:highlight w:val="yellow"/>
              </w:rPr>
              <w:t>Totals</w:t>
            </w:r>
            <w:r w:rsidRPr="004B3F3C">
              <w:rPr>
                <w:b/>
              </w:rPr>
              <w:t xml:space="preserve"> </w:t>
            </w:r>
          </w:p>
        </w:tc>
      </w:tr>
      <w:tr w:rsidR="00486B5D" w:rsidRPr="004B3F3C" w14:paraId="7602CD79" w14:textId="156E1AC7" w:rsidTr="00486B5D">
        <w:tc>
          <w:tcPr>
            <w:tcW w:w="771" w:type="dxa"/>
          </w:tcPr>
          <w:p w14:paraId="52908EB2" w14:textId="77777777" w:rsidR="00486B5D" w:rsidRPr="004B3F3C" w:rsidRDefault="00486B5D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1045" w:type="dxa"/>
          </w:tcPr>
          <w:p w14:paraId="0EBF3216" w14:textId="4D0F5AFB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986" w:type="dxa"/>
          </w:tcPr>
          <w:p w14:paraId="57F12D4A" w14:textId="21B9F25F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  <w:tc>
          <w:tcPr>
            <w:tcW w:w="999" w:type="dxa"/>
          </w:tcPr>
          <w:p w14:paraId="5A634BAB" w14:textId="66F3DD63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1127" w:type="dxa"/>
          </w:tcPr>
          <w:p w14:paraId="2E5ACC85" w14:textId="4FCA24BD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  <w:tc>
          <w:tcPr>
            <w:tcW w:w="1276" w:type="dxa"/>
          </w:tcPr>
          <w:p w14:paraId="6C64C548" w14:textId="2B05FC31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1134" w:type="dxa"/>
          </w:tcPr>
          <w:p w14:paraId="70F1597C" w14:textId="56E99D83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  <w:tc>
          <w:tcPr>
            <w:tcW w:w="992" w:type="dxa"/>
          </w:tcPr>
          <w:p w14:paraId="5C78F42B" w14:textId="273C0CE9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992" w:type="dxa"/>
          </w:tcPr>
          <w:p w14:paraId="3C060ABA" w14:textId="66A06F6F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</w:tr>
      <w:tr w:rsidR="00486B5D" w:rsidRPr="004B3F3C" w14:paraId="09DE21AB" w14:textId="4ED65185" w:rsidTr="00486B5D">
        <w:trPr>
          <w:trHeight w:val="568"/>
        </w:trPr>
        <w:tc>
          <w:tcPr>
            <w:tcW w:w="771" w:type="dxa"/>
          </w:tcPr>
          <w:p w14:paraId="64919CA8" w14:textId="77777777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Boy</w:t>
            </w:r>
          </w:p>
        </w:tc>
        <w:tc>
          <w:tcPr>
            <w:tcW w:w="1045" w:type="dxa"/>
          </w:tcPr>
          <w:p w14:paraId="4133C30E" w14:textId="5B4C8C12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83%</w:t>
            </w:r>
          </w:p>
        </w:tc>
        <w:tc>
          <w:tcPr>
            <w:tcW w:w="986" w:type="dxa"/>
          </w:tcPr>
          <w:p w14:paraId="79CECABF" w14:textId="66CDEE16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63%</w:t>
            </w:r>
          </w:p>
        </w:tc>
        <w:tc>
          <w:tcPr>
            <w:tcW w:w="999" w:type="dxa"/>
          </w:tcPr>
          <w:p w14:paraId="0D44F95A" w14:textId="2BEA7E24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71%</w:t>
            </w:r>
          </w:p>
        </w:tc>
        <w:tc>
          <w:tcPr>
            <w:tcW w:w="1127" w:type="dxa"/>
          </w:tcPr>
          <w:p w14:paraId="2A1E9DD4" w14:textId="414FE6BE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54%</w:t>
            </w:r>
          </w:p>
        </w:tc>
        <w:tc>
          <w:tcPr>
            <w:tcW w:w="1276" w:type="dxa"/>
          </w:tcPr>
          <w:p w14:paraId="7399A754" w14:textId="7A286CFB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65%</w:t>
            </w:r>
          </w:p>
        </w:tc>
        <w:tc>
          <w:tcPr>
            <w:tcW w:w="1134" w:type="dxa"/>
          </w:tcPr>
          <w:p w14:paraId="68B52F22" w14:textId="527F7C94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38%</w:t>
            </w:r>
          </w:p>
        </w:tc>
        <w:tc>
          <w:tcPr>
            <w:tcW w:w="992" w:type="dxa"/>
          </w:tcPr>
          <w:p w14:paraId="16664779" w14:textId="5E6FB541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73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992" w:type="dxa"/>
          </w:tcPr>
          <w:p w14:paraId="0F022DE4" w14:textId="7E897286" w:rsidR="00486B5D" w:rsidRPr="004B3F3C" w:rsidRDefault="0030070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52%</w:t>
            </w:r>
          </w:p>
        </w:tc>
      </w:tr>
      <w:tr w:rsidR="00486B5D" w:rsidRPr="004B3F3C" w14:paraId="614D8B6F" w14:textId="61A73DBF" w:rsidTr="00486B5D">
        <w:trPr>
          <w:trHeight w:val="587"/>
        </w:trPr>
        <w:tc>
          <w:tcPr>
            <w:tcW w:w="771" w:type="dxa"/>
          </w:tcPr>
          <w:p w14:paraId="29BE4955" w14:textId="77777777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Girl</w:t>
            </w:r>
          </w:p>
        </w:tc>
        <w:tc>
          <w:tcPr>
            <w:tcW w:w="1045" w:type="dxa"/>
          </w:tcPr>
          <w:p w14:paraId="040FFBCD" w14:textId="22A67472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74%</w:t>
            </w:r>
          </w:p>
        </w:tc>
        <w:tc>
          <w:tcPr>
            <w:tcW w:w="986" w:type="dxa"/>
          </w:tcPr>
          <w:p w14:paraId="743BAA9B" w14:textId="0533B66F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33%</w:t>
            </w:r>
          </w:p>
        </w:tc>
        <w:tc>
          <w:tcPr>
            <w:tcW w:w="999" w:type="dxa"/>
          </w:tcPr>
          <w:p w14:paraId="300CF2EC" w14:textId="5DF5FF4C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50%</w:t>
            </w:r>
          </w:p>
        </w:tc>
        <w:tc>
          <w:tcPr>
            <w:tcW w:w="1127" w:type="dxa"/>
          </w:tcPr>
          <w:p w14:paraId="7BD00FE3" w14:textId="3153E296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9%</w:t>
            </w:r>
          </w:p>
        </w:tc>
        <w:tc>
          <w:tcPr>
            <w:tcW w:w="1276" w:type="dxa"/>
          </w:tcPr>
          <w:p w14:paraId="77FE7498" w14:textId="7BE9C6E0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49%</w:t>
            </w:r>
          </w:p>
        </w:tc>
        <w:tc>
          <w:tcPr>
            <w:tcW w:w="1134" w:type="dxa"/>
          </w:tcPr>
          <w:p w14:paraId="77CBD23E" w14:textId="7FDB27AF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17%</w:t>
            </w:r>
          </w:p>
        </w:tc>
        <w:tc>
          <w:tcPr>
            <w:tcW w:w="992" w:type="dxa"/>
          </w:tcPr>
          <w:p w14:paraId="1D084AC1" w14:textId="358E1AEA" w:rsidR="00486B5D" w:rsidRPr="004B3F3C" w:rsidRDefault="0030070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58%</w:t>
            </w:r>
          </w:p>
        </w:tc>
        <w:tc>
          <w:tcPr>
            <w:tcW w:w="992" w:type="dxa"/>
          </w:tcPr>
          <w:p w14:paraId="67F8B1E2" w14:textId="27AB597A" w:rsidR="00486B5D" w:rsidRPr="004B3F3C" w:rsidRDefault="0030070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20%</w:t>
            </w:r>
          </w:p>
        </w:tc>
      </w:tr>
      <w:tr w:rsidR="00486B5D" w:rsidRPr="004B3F3C" w14:paraId="1A9556A4" w14:textId="77777777" w:rsidTr="00486B5D">
        <w:trPr>
          <w:trHeight w:val="587"/>
        </w:trPr>
        <w:tc>
          <w:tcPr>
            <w:tcW w:w="771" w:type="dxa"/>
          </w:tcPr>
          <w:p w14:paraId="4CF68CE9" w14:textId="6E2991CA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Totals </w:t>
            </w:r>
          </w:p>
        </w:tc>
        <w:tc>
          <w:tcPr>
            <w:tcW w:w="1045" w:type="dxa"/>
          </w:tcPr>
          <w:p w14:paraId="2988970B" w14:textId="79FB7ECE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79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986" w:type="dxa"/>
          </w:tcPr>
          <w:p w14:paraId="78175703" w14:textId="403C95E7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48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999" w:type="dxa"/>
          </w:tcPr>
          <w:p w14:paraId="3271FC03" w14:textId="6F4F9C80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61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1127" w:type="dxa"/>
          </w:tcPr>
          <w:p w14:paraId="59DDC48C" w14:textId="5C33D5AE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32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1276" w:type="dxa"/>
          </w:tcPr>
          <w:p w14:paraId="2BCA1750" w14:textId="4B9965BA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57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1134" w:type="dxa"/>
          </w:tcPr>
          <w:p w14:paraId="02ED137C" w14:textId="56E07187" w:rsidR="00486B5D" w:rsidRPr="004B3F3C" w:rsidRDefault="00486B5D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28</w:t>
            </w:r>
            <w:r w:rsidR="00300704" w:rsidRPr="004B3F3C">
              <w:rPr>
                <w:b/>
              </w:rPr>
              <w:t>%</w:t>
            </w:r>
          </w:p>
        </w:tc>
        <w:tc>
          <w:tcPr>
            <w:tcW w:w="992" w:type="dxa"/>
          </w:tcPr>
          <w:p w14:paraId="2F9AF471" w14:textId="7B702387" w:rsidR="00486B5D" w:rsidRPr="004B3F3C" w:rsidRDefault="0030070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66%</w:t>
            </w:r>
          </w:p>
        </w:tc>
        <w:tc>
          <w:tcPr>
            <w:tcW w:w="992" w:type="dxa"/>
          </w:tcPr>
          <w:p w14:paraId="5C113118" w14:textId="180FE9EE" w:rsidR="00486B5D" w:rsidRPr="004B3F3C" w:rsidRDefault="0030070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36%</w:t>
            </w:r>
          </w:p>
        </w:tc>
      </w:tr>
    </w:tbl>
    <w:p w14:paraId="76EB055A" w14:textId="77777777" w:rsidR="005F065A" w:rsidRPr="004B3F3C" w:rsidRDefault="005F065A" w:rsidP="004B3F3C">
      <w:pPr>
        <w:spacing w:line="360" w:lineRule="auto"/>
        <w:contextualSpacing/>
        <w:rPr>
          <w:b/>
        </w:rPr>
      </w:pPr>
    </w:p>
    <w:p w14:paraId="58FFAC3F" w14:textId="3AFCF933" w:rsidR="00F97B27" w:rsidRPr="004B3F3C" w:rsidRDefault="00E16005" w:rsidP="004B3F3C">
      <w:pPr>
        <w:pStyle w:val="CommentText"/>
        <w:spacing w:line="360" w:lineRule="auto"/>
        <w:contextualSpacing/>
        <w:rPr>
          <w:sz w:val="22"/>
          <w:szCs w:val="22"/>
        </w:rPr>
      </w:pPr>
      <w:r w:rsidRPr="004B3F3C">
        <w:rPr>
          <w:sz w:val="22"/>
          <w:szCs w:val="22"/>
        </w:rPr>
        <w:t>There was also an association between never eating breakfast and energy drink consumption</w:t>
      </w:r>
      <w:r w:rsidR="004C2F3B" w:rsidRPr="004B3F3C">
        <w:rPr>
          <w:sz w:val="22"/>
          <w:szCs w:val="22"/>
        </w:rPr>
        <w:t>,</w:t>
      </w:r>
      <w:r w:rsidRPr="004B3F3C">
        <w:rPr>
          <w:sz w:val="22"/>
          <w:szCs w:val="22"/>
        </w:rPr>
        <w:t xml:space="preserve"> </w:t>
      </w:r>
      <w:r w:rsidR="00636C28" w:rsidRPr="004B3F3C">
        <w:rPr>
          <w:sz w:val="22"/>
          <w:szCs w:val="22"/>
        </w:rPr>
        <w:t xml:space="preserve">with </w:t>
      </w:r>
      <w:r w:rsidR="00F97B27" w:rsidRPr="004B3F3C">
        <w:rPr>
          <w:sz w:val="22"/>
          <w:szCs w:val="22"/>
        </w:rPr>
        <w:t>14% of young people from English National report never eating breakfast during week days; compared to 36% of daily energy drinkers and 26% of regular drinkers.</w:t>
      </w:r>
    </w:p>
    <w:p w14:paraId="798E84B5" w14:textId="234BE759" w:rsidR="00523341" w:rsidRPr="004B3F3C" w:rsidRDefault="00702E96" w:rsidP="004B3F3C">
      <w:pPr>
        <w:spacing w:line="360" w:lineRule="auto"/>
        <w:contextualSpacing/>
      </w:pPr>
      <w:r w:rsidRPr="004B3F3C">
        <w:t>Although girls are less likely to regularly consume energy drinks than their male peers</w:t>
      </w:r>
      <w:r w:rsidR="00024EEB" w:rsidRPr="004B3F3C">
        <w:t>,</w:t>
      </w:r>
      <w:r w:rsidRPr="004B3F3C">
        <w:t xml:space="preserve"> those that do </w:t>
      </w:r>
      <w:r w:rsidR="0046370B" w:rsidRPr="004B3F3C">
        <w:t xml:space="preserve">so regularly (2-4 times a week) </w:t>
      </w:r>
      <w:r w:rsidRPr="004B3F3C">
        <w:t>are</w:t>
      </w:r>
      <w:r w:rsidR="00024EEB" w:rsidRPr="004B3F3C">
        <w:t xml:space="preserve"> also</w:t>
      </w:r>
      <w:r w:rsidR="00636C28" w:rsidRPr="004B3F3C">
        <w:t xml:space="preserve"> much </w:t>
      </w:r>
      <w:r w:rsidRPr="004B3F3C">
        <w:t>less likely to eat breakfast on a school</w:t>
      </w:r>
      <w:r w:rsidR="00E42C08" w:rsidRPr="004B3F3C">
        <w:t xml:space="preserve"> day</w:t>
      </w:r>
      <w:r w:rsidR="00636C28" w:rsidRPr="004B3F3C">
        <w:t xml:space="preserve"> than girls who never consume energy drinks</w:t>
      </w:r>
      <w:r w:rsidR="00E37D75" w:rsidRPr="004B3F3C">
        <w:t xml:space="preserve"> (34% vs 13%</w:t>
      </w:r>
      <w:r w:rsidR="0046370B" w:rsidRPr="004B3F3C">
        <w:t>)</w:t>
      </w:r>
      <w:r w:rsidR="00636C28" w:rsidRPr="004B3F3C">
        <w:t xml:space="preserve">. </w:t>
      </w:r>
    </w:p>
    <w:p w14:paraId="31393A58" w14:textId="237B686D" w:rsidR="00D312D4" w:rsidRPr="004B3F3C" w:rsidRDefault="0046370B" w:rsidP="004B3F3C">
      <w:pPr>
        <w:spacing w:line="360" w:lineRule="auto"/>
        <w:contextualSpacing/>
      </w:pPr>
      <w:r w:rsidRPr="004B3F3C">
        <w:t>E</w:t>
      </w:r>
      <w:r w:rsidR="00636C28" w:rsidRPr="004B3F3C">
        <w:t>nergy drinks are reported to be a marker for health risk behaviours (smoking, drinking alcohol to excess etc. (</w:t>
      </w:r>
      <w:r w:rsidR="00636C28" w:rsidRPr="004B3F3C">
        <w:rPr>
          <w:rFonts w:eastAsia="Arial Unicode MS" w:cs="Arial Unicode MS"/>
          <w:noProof/>
          <w:color w:val="232323"/>
          <w:lang w:val="en-US"/>
        </w:rPr>
        <w:t>Patrick and Maggs 2014)</w:t>
      </w:r>
      <w:r w:rsidR="00F57285" w:rsidRPr="004B3F3C">
        <w:rPr>
          <w:rFonts w:eastAsia="Arial Unicode MS" w:cs="Arial Unicode MS"/>
          <w:noProof/>
          <w:color w:val="232323"/>
          <w:lang w:val="en-US"/>
        </w:rPr>
        <w:t>,</w:t>
      </w:r>
      <w:r w:rsidR="00636C28" w:rsidRPr="004B3F3C">
        <w:t xml:space="preserve"> </w:t>
      </w:r>
      <w:r w:rsidRPr="004B3F3C">
        <w:t>it</w:t>
      </w:r>
      <w:r w:rsidR="00F57285" w:rsidRPr="004B3F3C">
        <w:t xml:space="preserve"> is</w:t>
      </w:r>
      <w:r w:rsidRPr="004B3F3C">
        <w:t xml:space="preserve"> likely </w:t>
      </w:r>
      <w:r w:rsidR="00636C28" w:rsidRPr="004B3F3C">
        <w:t xml:space="preserve">their consumption </w:t>
      </w:r>
      <w:proofErr w:type="gramStart"/>
      <w:r w:rsidR="00636C28" w:rsidRPr="004B3F3C">
        <w:t>is</w:t>
      </w:r>
      <w:proofErr w:type="gramEnd"/>
      <w:r w:rsidR="00636C28" w:rsidRPr="004B3F3C">
        <w:t xml:space="preserve"> also associated with poorer nutritional habits</w:t>
      </w:r>
      <w:r w:rsidR="009716F8">
        <w:t xml:space="preserve"> (tables 4-6)</w:t>
      </w:r>
    </w:p>
    <w:p w14:paraId="24735D20" w14:textId="77777777" w:rsidR="0046370B" w:rsidRPr="004B3F3C" w:rsidRDefault="0046370B" w:rsidP="004B3F3C">
      <w:pPr>
        <w:spacing w:line="360" w:lineRule="auto"/>
        <w:contextualSpacing/>
        <w:rPr>
          <w:b/>
        </w:rPr>
      </w:pPr>
    </w:p>
    <w:p w14:paraId="7B800421" w14:textId="32AC622B" w:rsidR="007C25C3" w:rsidRPr="004B3F3C" w:rsidRDefault="007C25C3" w:rsidP="004B3F3C">
      <w:pPr>
        <w:spacing w:line="360" w:lineRule="auto"/>
        <w:contextualSpacing/>
        <w:rPr>
          <w:b/>
        </w:rPr>
      </w:pPr>
      <w:r w:rsidRPr="004B3F3C">
        <w:rPr>
          <w:b/>
        </w:rPr>
        <w:t xml:space="preserve">Table </w:t>
      </w:r>
      <w:r w:rsidR="00D808D9" w:rsidRPr="004B3F3C">
        <w:rPr>
          <w:b/>
        </w:rPr>
        <w:t>4</w:t>
      </w:r>
      <w:r w:rsidRPr="004B3F3C">
        <w:rPr>
          <w:b/>
        </w:rPr>
        <w:t xml:space="preserve"> Proportions of young people who never eat breakfast</w:t>
      </w:r>
      <w:r w:rsidR="006657F8" w:rsidRPr="004B3F3C">
        <w:rPr>
          <w:b/>
        </w:rPr>
        <w:t xml:space="preserve"> and </w:t>
      </w:r>
      <w:r w:rsidR="00C70ACC" w:rsidRPr="004B3F3C">
        <w:rPr>
          <w:b/>
        </w:rPr>
        <w:t xml:space="preserve">daily </w:t>
      </w:r>
      <w:r w:rsidR="006657F8" w:rsidRPr="004B3F3C">
        <w:rPr>
          <w:b/>
        </w:rPr>
        <w:t>energy drink consumption</w:t>
      </w:r>
      <w:r w:rsidRPr="004B3F3C">
        <w:rPr>
          <w:b/>
        </w:rPr>
        <w:t xml:space="preserve"> by age and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1068"/>
        <w:gridCol w:w="1043"/>
        <w:gridCol w:w="1032"/>
        <w:gridCol w:w="1053"/>
        <w:gridCol w:w="1055"/>
        <w:gridCol w:w="1078"/>
        <w:gridCol w:w="999"/>
        <w:gridCol w:w="967"/>
      </w:tblGrid>
      <w:tr w:rsidR="0046370B" w:rsidRPr="004B3F3C" w14:paraId="53B82B80" w14:textId="2B347DFB" w:rsidTr="0046370B">
        <w:tc>
          <w:tcPr>
            <w:tcW w:w="791" w:type="dxa"/>
          </w:tcPr>
          <w:p w14:paraId="792B4EBC" w14:textId="77777777" w:rsidR="0046370B" w:rsidRPr="004B3F3C" w:rsidRDefault="0046370B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2430" w:type="dxa"/>
            <w:gridSpan w:val="2"/>
          </w:tcPr>
          <w:p w14:paraId="0D78801B" w14:textId="751CC75C" w:rsidR="0046370B" w:rsidRPr="004B3F3C" w:rsidRDefault="0046370B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11 years</w:t>
            </w:r>
          </w:p>
        </w:tc>
        <w:tc>
          <w:tcPr>
            <w:tcW w:w="2350" w:type="dxa"/>
            <w:gridSpan w:val="2"/>
          </w:tcPr>
          <w:p w14:paraId="62D73E62" w14:textId="19950BBC" w:rsidR="0046370B" w:rsidRPr="004B3F3C" w:rsidRDefault="0046370B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13 years</w:t>
            </w:r>
          </w:p>
        </w:tc>
        <w:tc>
          <w:tcPr>
            <w:tcW w:w="2502" w:type="dxa"/>
            <w:gridSpan w:val="2"/>
          </w:tcPr>
          <w:p w14:paraId="768126BE" w14:textId="627AF2F9" w:rsidR="0046370B" w:rsidRPr="004B3F3C" w:rsidRDefault="0046370B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15 years</w:t>
            </w:r>
          </w:p>
        </w:tc>
        <w:tc>
          <w:tcPr>
            <w:tcW w:w="1169" w:type="dxa"/>
            <w:gridSpan w:val="2"/>
          </w:tcPr>
          <w:p w14:paraId="17D1C966" w14:textId="085C59DF" w:rsidR="0046370B" w:rsidRPr="004B3F3C" w:rsidRDefault="0046370B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 xml:space="preserve">Totals </w:t>
            </w:r>
          </w:p>
        </w:tc>
      </w:tr>
      <w:tr w:rsidR="005F65D2" w:rsidRPr="004B3F3C" w14:paraId="14D0D80D" w14:textId="6627FEE8" w:rsidTr="007241EB">
        <w:tc>
          <w:tcPr>
            <w:tcW w:w="791" w:type="dxa"/>
          </w:tcPr>
          <w:p w14:paraId="5B69BDAB" w14:textId="77777777" w:rsidR="005F65D2" w:rsidRPr="004B3F3C" w:rsidRDefault="005F65D2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1218" w:type="dxa"/>
          </w:tcPr>
          <w:p w14:paraId="029E1FBE" w14:textId="22AC56C6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1212" w:type="dxa"/>
          </w:tcPr>
          <w:p w14:paraId="07346E9B" w14:textId="42A7BA84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  <w:tc>
          <w:tcPr>
            <w:tcW w:w="1106" w:type="dxa"/>
          </w:tcPr>
          <w:p w14:paraId="0183D4BB" w14:textId="7A3B1121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1244" w:type="dxa"/>
          </w:tcPr>
          <w:p w14:paraId="3984B8AE" w14:textId="3CA9F308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  <w:tc>
          <w:tcPr>
            <w:tcW w:w="1178" w:type="dxa"/>
          </w:tcPr>
          <w:p w14:paraId="33ADC2FB" w14:textId="5EF25296" w:rsidR="005F65D2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324" w:type="dxa"/>
          </w:tcPr>
          <w:p w14:paraId="2C1DF871" w14:textId="7F194F75" w:rsidR="005F65D2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  <w:tc>
          <w:tcPr>
            <w:tcW w:w="584" w:type="dxa"/>
          </w:tcPr>
          <w:p w14:paraId="4D2801D2" w14:textId="6A9FD9E2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585" w:type="dxa"/>
          </w:tcPr>
          <w:p w14:paraId="276AF49B" w14:textId="1D455061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Daily energy drinkers</w:t>
            </w:r>
          </w:p>
        </w:tc>
      </w:tr>
      <w:tr w:rsidR="005F65D2" w:rsidRPr="004B3F3C" w14:paraId="56E6F7DF" w14:textId="4D36AE7B" w:rsidTr="007241EB">
        <w:tc>
          <w:tcPr>
            <w:tcW w:w="791" w:type="dxa"/>
          </w:tcPr>
          <w:p w14:paraId="2AFD2BC3" w14:textId="44769B38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Boy</w:t>
            </w:r>
          </w:p>
        </w:tc>
        <w:tc>
          <w:tcPr>
            <w:tcW w:w="1218" w:type="dxa"/>
          </w:tcPr>
          <w:p w14:paraId="4D84A4CA" w14:textId="69C35D46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4%</w:t>
            </w:r>
          </w:p>
        </w:tc>
        <w:tc>
          <w:tcPr>
            <w:tcW w:w="1212" w:type="dxa"/>
          </w:tcPr>
          <w:p w14:paraId="74B2C820" w14:textId="463B3DEC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12%</w:t>
            </w:r>
          </w:p>
        </w:tc>
        <w:tc>
          <w:tcPr>
            <w:tcW w:w="1106" w:type="dxa"/>
          </w:tcPr>
          <w:p w14:paraId="09B45F4D" w14:textId="6FBD24D7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11%</w:t>
            </w:r>
          </w:p>
        </w:tc>
        <w:tc>
          <w:tcPr>
            <w:tcW w:w="1244" w:type="dxa"/>
          </w:tcPr>
          <w:p w14:paraId="67B8C132" w14:textId="0FDBB242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22%</w:t>
            </w:r>
          </w:p>
        </w:tc>
        <w:tc>
          <w:tcPr>
            <w:tcW w:w="1178" w:type="dxa"/>
          </w:tcPr>
          <w:p w14:paraId="35D88C28" w14:textId="41272AFE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14%</w:t>
            </w:r>
          </w:p>
        </w:tc>
        <w:tc>
          <w:tcPr>
            <w:tcW w:w="1324" w:type="dxa"/>
          </w:tcPr>
          <w:p w14:paraId="4F85B113" w14:textId="73F41BDC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33%</w:t>
            </w:r>
          </w:p>
        </w:tc>
        <w:tc>
          <w:tcPr>
            <w:tcW w:w="584" w:type="dxa"/>
          </w:tcPr>
          <w:p w14:paraId="49FCB01F" w14:textId="1C469AF5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10%</w:t>
            </w:r>
          </w:p>
        </w:tc>
        <w:tc>
          <w:tcPr>
            <w:tcW w:w="585" w:type="dxa"/>
          </w:tcPr>
          <w:p w14:paraId="45D08C29" w14:textId="5BB361B9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22%</w:t>
            </w:r>
          </w:p>
        </w:tc>
      </w:tr>
      <w:tr w:rsidR="005F65D2" w:rsidRPr="004B3F3C" w14:paraId="58541409" w14:textId="6C9DD4D0" w:rsidTr="007241EB">
        <w:tc>
          <w:tcPr>
            <w:tcW w:w="791" w:type="dxa"/>
          </w:tcPr>
          <w:p w14:paraId="75C01B46" w14:textId="77777777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Girl</w:t>
            </w:r>
          </w:p>
        </w:tc>
        <w:tc>
          <w:tcPr>
            <w:tcW w:w="1218" w:type="dxa"/>
          </w:tcPr>
          <w:p w14:paraId="65E33088" w14:textId="06DE3EC5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8%</w:t>
            </w:r>
          </w:p>
        </w:tc>
        <w:tc>
          <w:tcPr>
            <w:tcW w:w="1212" w:type="dxa"/>
          </w:tcPr>
          <w:p w14:paraId="57C9C505" w14:textId="171AB41B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40%</w:t>
            </w:r>
          </w:p>
        </w:tc>
        <w:tc>
          <w:tcPr>
            <w:tcW w:w="1106" w:type="dxa"/>
          </w:tcPr>
          <w:p w14:paraId="72983511" w14:textId="4C25FB8B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</w:t>
            </w:r>
            <w:r w:rsidR="00601781" w:rsidRPr="004B3F3C">
              <w:rPr>
                <w:b/>
              </w:rPr>
              <w:t>2</w:t>
            </w:r>
            <w:r w:rsidRPr="004B3F3C">
              <w:rPr>
                <w:b/>
              </w:rPr>
              <w:t>%</w:t>
            </w:r>
          </w:p>
        </w:tc>
        <w:tc>
          <w:tcPr>
            <w:tcW w:w="1244" w:type="dxa"/>
          </w:tcPr>
          <w:p w14:paraId="5438CEBA" w14:textId="7A5244D2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67%</w:t>
            </w:r>
          </w:p>
        </w:tc>
        <w:tc>
          <w:tcPr>
            <w:tcW w:w="1178" w:type="dxa"/>
          </w:tcPr>
          <w:p w14:paraId="225F91A9" w14:textId="16A9321C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24%</w:t>
            </w:r>
          </w:p>
        </w:tc>
        <w:tc>
          <w:tcPr>
            <w:tcW w:w="1324" w:type="dxa"/>
          </w:tcPr>
          <w:p w14:paraId="4763BCF0" w14:textId="76DDAFE5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43%</w:t>
            </w:r>
          </w:p>
        </w:tc>
        <w:tc>
          <w:tcPr>
            <w:tcW w:w="584" w:type="dxa"/>
          </w:tcPr>
          <w:p w14:paraId="0F0CBC81" w14:textId="0BB8E34E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18%</w:t>
            </w:r>
          </w:p>
        </w:tc>
        <w:tc>
          <w:tcPr>
            <w:tcW w:w="585" w:type="dxa"/>
          </w:tcPr>
          <w:p w14:paraId="7DFA1A2F" w14:textId="4EF4ECCB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50%</w:t>
            </w:r>
          </w:p>
        </w:tc>
      </w:tr>
      <w:tr w:rsidR="005F65D2" w:rsidRPr="004B3F3C" w14:paraId="7BA44607" w14:textId="7ECB6931" w:rsidTr="007241EB">
        <w:tc>
          <w:tcPr>
            <w:tcW w:w="791" w:type="dxa"/>
          </w:tcPr>
          <w:p w14:paraId="2C9176BC" w14:textId="31B1D077" w:rsidR="005F65D2" w:rsidRPr="004B3F3C" w:rsidRDefault="005F65D2" w:rsidP="004B3F3C">
            <w:pPr>
              <w:spacing w:line="360" w:lineRule="auto"/>
              <w:contextualSpacing/>
              <w:rPr>
                <w:b/>
                <w:i/>
              </w:rPr>
            </w:pPr>
            <w:r w:rsidRPr="004B3F3C">
              <w:rPr>
                <w:b/>
                <w:i/>
              </w:rPr>
              <w:t>Total</w:t>
            </w:r>
          </w:p>
        </w:tc>
        <w:tc>
          <w:tcPr>
            <w:tcW w:w="1218" w:type="dxa"/>
          </w:tcPr>
          <w:p w14:paraId="6384DF7D" w14:textId="10D4254A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6%</w:t>
            </w:r>
          </w:p>
        </w:tc>
        <w:tc>
          <w:tcPr>
            <w:tcW w:w="1212" w:type="dxa"/>
          </w:tcPr>
          <w:p w14:paraId="7B7EAC67" w14:textId="35A74EEA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26%</w:t>
            </w:r>
          </w:p>
        </w:tc>
        <w:tc>
          <w:tcPr>
            <w:tcW w:w="1106" w:type="dxa"/>
          </w:tcPr>
          <w:p w14:paraId="45A8DE22" w14:textId="6E8B4856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17%</w:t>
            </w:r>
          </w:p>
        </w:tc>
        <w:tc>
          <w:tcPr>
            <w:tcW w:w="1244" w:type="dxa"/>
          </w:tcPr>
          <w:p w14:paraId="7A5E9BC9" w14:textId="70630992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45%</w:t>
            </w:r>
          </w:p>
        </w:tc>
        <w:tc>
          <w:tcPr>
            <w:tcW w:w="1178" w:type="dxa"/>
          </w:tcPr>
          <w:p w14:paraId="1A8B5B45" w14:textId="22730952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19%</w:t>
            </w:r>
          </w:p>
        </w:tc>
        <w:tc>
          <w:tcPr>
            <w:tcW w:w="1324" w:type="dxa"/>
          </w:tcPr>
          <w:p w14:paraId="6F39133F" w14:textId="32395C31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38%</w:t>
            </w:r>
          </w:p>
        </w:tc>
        <w:tc>
          <w:tcPr>
            <w:tcW w:w="584" w:type="dxa"/>
          </w:tcPr>
          <w:p w14:paraId="5BACD780" w14:textId="252D1033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14%</w:t>
            </w:r>
          </w:p>
        </w:tc>
        <w:tc>
          <w:tcPr>
            <w:tcW w:w="585" w:type="dxa"/>
          </w:tcPr>
          <w:p w14:paraId="5C8F8133" w14:textId="4CD32FF2" w:rsidR="005F65D2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36%</w:t>
            </w:r>
          </w:p>
        </w:tc>
      </w:tr>
    </w:tbl>
    <w:p w14:paraId="681F7B58" w14:textId="77777777" w:rsidR="007C25C3" w:rsidRPr="004B3F3C" w:rsidRDefault="007C25C3" w:rsidP="004B3F3C">
      <w:pPr>
        <w:spacing w:line="360" w:lineRule="auto"/>
        <w:contextualSpacing/>
        <w:rPr>
          <w:b/>
        </w:rPr>
      </w:pPr>
    </w:p>
    <w:p w14:paraId="185764AD" w14:textId="7A884AF1" w:rsidR="008126A3" w:rsidRPr="004B3F3C" w:rsidRDefault="008126A3" w:rsidP="004B3F3C">
      <w:pPr>
        <w:spacing w:line="360" w:lineRule="auto"/>
        <w:contextualSpacing/>
        <w:rPr>
          <w:b/>
        </w:rPr>
      </w:pPr>
      <w:r w:rsidRPr="004B3F3C">
        <w:rPr>
          <w:b/>
        </w:rPr>
        <w:lastRenderedPageBreak/>
        <w:t xml:space="preserve">Table </w:t>
      </w:r>
      <w:r w:rsidR="00D808D9" w:rsidRPr="004B3F3C">
        <w:rPr>
          <w:b/>
        </w:rPr>
        <w:t>5</w:t>
      </w:r>
      <w:r w:rsidRPr="004B3F3C">
        <w:rPr>
          <w:b/>
        </w:rPr>
        <w:t xml:space="preserve">:  Proportion of young people who eat breakfast 5 days a week/every day during the week and </w:t>
      </w:r>
      <w:r w:rsidR="001025AA" w:rsidRPr="004B3F3C">
        <w:rPr>
          <w:b/>
        </w:rPr>
        <w:t xml:space="preserve">regular </w:t>
      </w:r>
      <w:r w:rsidRPr="004B3F3C">
        <w:rPr>
          <w:b/>
        </w:rPr>
        <w:t xml:space="preserve">energy drink consumption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999"/>
        <w:gridCol w:w="1048"/>
        <w:gridCol w:w="999"/>
        <w:gridCol w:w="1052"/>
        <w:gridCol w:w="1128"/>
        <w:gridCol w:w="1121"/>
        <w:gridCol w:w="999"/>
        <w:gridCol w:w="987"/>
      </w:tblGrid>
      <w:tr w:rsidR="008126A3" w:rsidRPr="004B3F3C" w14:paraId="5EFE8DE5" w14:textId="2B717BC5" w:rsidTr="005962C4">
        <w:tc>
          <w:tcPr>
            <w:tcW w:w="683" w:type="dxa"/>
          </w:tcPr>
          <w:p w14:paraId="6BBDF9F1" w14:textId="77777777" w:rsidR="008126A3" w:rsidRPr="004B3F3C" w:rsidRDefault="008126A3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2119" w:type="dxa"/>
            <w:gridSpan w:val="2"/>
          </w:tcPr>
          <w:p w14:paraId="722A7C1F" w14:textId="4CCD438E" w:rsidR="008126A3" w:rsidRPr="004B3F3C" w:rsidRDefault="008126A3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11 years</w:t>
            </w:r>
          </w:p>
        </w:tc>
        <w:tc>
          <w:tcPr>
            <w:tcW w:w="2126" w:type="dxa"/>
            <w:gridSpan w:val="2"/>
          </w:tcPr>
          <w:p w14:paraId="62E8AEEA" w14:textId="5E37662E" w:rsidR="008126A3" w:rsidRPr="004B3F3C" w:rsidRDefault="008126A3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13 years</w:t>
            </w:r>
          </w:p>
        </w:tc>
        <w:tc>
          <w:tcPr>
            <w:tcW w:w="2551" w:type="dxa"/>
            <w:gridSpan w:val="2"/>
          </w:tcPr>
          <w:p w14:paraId="138B3861" w14:textId="5A298511" w:rsidR="008126A3" w:rsidRPr="004B3F3C" w:rsidRDefault="008126A3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15 years</w:t>
            </w:r>
          </w:p>
        </w:tc>
        <w:tc>
          <w:tcPr>
            <w:tcW w:w="1763" w:type="dxa"/>
            <w:gridSpan w:val="2"/>
          </w:tcPr>
          <w:p w14:paraId="3BA60B69" w14:textId="5BF5EA98" w:rsidR="008126A3" w:rsidRPr="004B3F3C" w:rsidRDefault="008126A3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  <w:highlight w:val="yellow"/>
              </w:rPr>
              <w:t>Totals</w:t>
            </w:r>
          </w:p>
        </w:tc>
      </w:tr>
      <w:tr w:rsidR="005962C4" w:rsidRPr="004B3F3C" w14:paraId="2D3A03EA" w14:textId="6C1082A0" w:rsidTr="005962C4">
        <w:tc>
          <w:tcPr>
            <w:tcW w:w="683" w:type="dxa"/>
          </w:tcPr>
          <w:p w14:paraId="66966DEB" w14:textId="77777777" w:rsidR="00535407" w:rsidRPr="004B3F3C" w:rsidRDefault="00535407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999" w:type="dxa"/>
          </w:tcPr>
          <w:p w14:paraId="3403C782" w14:textId="604FFC52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120" w:type="dxa"/>
          </w:tcPr>
          <w:p w14:paraId="100998BA" w14:textId="3645D824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 a week</w:t>
            </w:r>
          </w:p>
        </w:tc>
        <w:tc>
          <w:tcPr>
            <w:tcW w:w="999" w:type="dxa"/>
          </w:tcPr>
          <w:p w14:paraId="5B34CA85" w14:textId="606B0CF9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127" w:type="dxa"/>
          </w:tcPr>
          <w:p w14:paraId="134A3DF1" w14:textId="77777777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 a week</w:t>
            </w:r>
          </w:p>
        </w:tc>
        <w:tc>
          <w:tcPr>
            <w:tcW w:w="1276" w:type="dxa"/>
          </w:tcPr>
          <w:p w14:paraId="2236F010" w14:textId="23A5E789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275" w:type="dxa"/>
          </w:tcPr>
          <w:p w14:paraId="30A4616B" w14:textId="77777777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 a week</w:t>
            </w:r>
          </w:p>
        </w:tc>
        <w:tc>
          <w:tcPr>
            <w:tcW w:w="851" w:type="dxa"/>
          </w:tcPr>
          <w:p w14:paraId="66539CD9" w14:textId="5477ECCA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HBSC England National rate </w:t>
            </w:r>
          </w:p>
        </w:tc>
        <w:tc>
          <w:tcPr>
            <w:tcW w:w="912" w:type="dxa"/>
          </w:tcPr>
          <w:p w14:paraId="507018E7" w14:textId="17C3DB00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 xml:space="preserve">Drinking energy drinks 2-4 times a week </w:t>
            </w:r>
          </w:p>
        </w:tc>
      </w:tr>
      <w:tr w:rsidR="005962C4" w:rsidRPr="004B3F3C" w14:paraId="2BFF3EF8" w14:textId="77783B98" w:rsidTr="005962C4">
        <w:trPr>
          <w:trHeight w:val="568"/>
        </w:trPr>
        <w:tc>
          <w:tcPr>
            <w:tcW w:w="683" w:type="dxa"/>
          </w:tcPr>
          <w:p w14:paraId="25B4EAC5" w14:textId="77777777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Boy</w:t>
            </w:r>
          </w:p>
        </w:tc>
        <w:tc>
          <w:tcPr>
            <w:tcW w:w="999" w:type="dxa"/>
          </w:tcPr>
          <w:p w14:paraId="289F5B57" w14:textId="3081AD07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83%</w:t>
            </w:r>
          </w:p>
        </w:tc>
        <w:tc>
          <w:tcPr>
            <w:tcW w:w="1120" w:type="dxa"/>
          </w:tcPr>
          <w:p w14:paraId="047FCEEF" w14:textId="79D7B81C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69%</w:t>
            </w:r>
          </w:p>
        </w:tc>
        <w:tc>
          <w:tcPr>
            <w:tcW w:w="999" w:type="dxa"/>
          </w:tcPr>
          <w:p w14:paraId="36324E63" w14:textId="63BF10D1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71%</w:t>
            </w:r>
          </w:p>
        </w:tc>
        <w:tc>
          <w:tcPr>
            <w:tcW w:w="1127" w:type="dxa"/>
          </w:tcPr>
          <w:p w14:paraId="42F60235" w14:textId="369742B2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53%</w:t>
            </w:r>
          </w:p>
        </w:tc>
        <w:tc>
          <w:tcPr>
            <w:tcW w:w="1276" w:type="dxa"/>
          </w:tcPr>
          <w:p w14:paraId="72BF87B6" w14:textId="7BDBB40D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65%</w:t>
            </w:r>
          </w:p>
        </w:tc>
        <w:tc>
          <w:tcPr>
            <w:tcW w:w="1275" w:type="dxa"/>
          </w:tcPr>
          <w:p w14:paraId="38C656DD" w14:textId="63E676C3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55%</w:t>
            </w:r>
          </w:p>
        </w:tc>
        <w:tc>
          <w:tcPr>
            <w:tcW w:w="851" w:type="dxa"/>
          </w:tcPr>
          <w:p w14:paraId="50C8BCE8" w14:textId="4FB54BC4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73%</w:t>
            </w:r>
          </w:p>
        </w:tc>
        <w:tc>
          <w:tcPr>
            <w:tcW w:w="912" w:type="dxa"/>
          </w:tcPr>
          <w:p w14:paraId="5A9322B7" w14:textId="792883F4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59%</w:t>
            </w:r>
          </w:p>
        </w:tc>
      </w:tr>
      <w:tr w:rsidR="005962C4" w:rsidRPr="004B3F3C" w14:paraId="238EFD9A" w14:textId="59A7A0EB" w:rsidTr="005962C4">
        <w:trPr>
          <w:trHeight w:val="587"/>
        </w:trPr>
        <w:tc>
          <w:tcPr>
            <w:tcW w:w="683" w:type="dxa"/>
          </w:tcPr>
          <w:p w14:paraId="7A1F6C08" w14:textId="77777777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Girl</w:t>
            </w:r>
          </w:p>
        </w:tc>
        <w:tc>
          <w:tcPr>
            <w:tcW w:w="999" w:type="dxa"/>
          </w:tcPr>
          <w:p w14:paraId="22807B19" w14:textId="572277FE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74%</w:t>
            </w:r>
          </w:p>
        </w:tc>
        <w:tc>
          <w:tcPr>
            <w:tcW w:w="1120" w:type="dxa"/>
          </w:tcPr>
          <w:p w14:paraId="35FF423A" w14:textId="60622470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55%</w:t>
            </w:r>
          </w:p>
        </w:tc>
        <w:tc>
          <w:tcPr>
            <w:tcW w:w="999" w:type="dxa"/>
          </w:tcPr>
          <w:p w14:paraId="1C9C843D" w14:textId="301CBC5F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50%</w:t>
            </w:r>
          </w:p>
        </w:tc>
        <w:tc>
          <w:tcPr>
            <w:tcW w:w="1127" w:type="dxa"/>
          </w:tcPr>
          <w:p w14:paraId="3B89D17B" w14:textId="597360A0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25%</w:t>
            </w:r>
          </w:p>
        </w:tc>
        <w:tc>
          <w:tcPr>
            <w:tcW w:w="1276" w:type="dxa"/>
          </w:tcPr>
          <w:p w14:paraId="313633CD" w14:textId="3A4ECB58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49%</w:t>
            </w:r>
          </w:p>
        </w:tc>
        <w:tc>
          <w:tcPr>
            <w:tcW w:w="1275" w:type="dxa"/>
          </w:tcPr>
          <w:p w14:paraId="076E0A54" w14:textId="1B66F75A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31%</w:t>
            </w:r>
          </w:p>
        </w:tc>
        <w:tc>
          <w:tcPr>
            <w:tcW w:w="851" w:type="dxa"/>
          </w:tcPr>
          <w:p w14:paraId="3FF93870" w14:textId="225B1B1B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58%</w:t>
            </w:r>
          </w:p>
        </w:tc>
        <w:tc>
          <w:tcPr>
            <w:tcW w:w="912" w:type="dxa"/>
          </w:tcPr>
          <w:p w14:paraId="0ED53A6E" w14:textId="1C2BB134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37%</w:t>
            </w:r>
          </w:p>
        </w:tc>
      </w:tr>
      <w:tr w:rsidR="005962C4" w:rsidRPr="004B3F3C" w14:paraId="5C2C5F79" w14:textId="77777777" w:rsidTr="005962C4">
        <w:trPr>
          <w:trHeight w:val="587"/>
        </w:trPr>
        <w:tc>
          <w:tcPr>
            <w:tcW w:w="683" w:type="dxa"/>
          </w:tcPr>
          <w:p w14:paraId="6C59795E" w14:textId="2D578012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Total</w:t>
            </w:r>
          </w:p>
        </w:tc>
        <w:tc>
          <w:tcPr>
            <w:tcW w:w="999" w:type="dxa"/>
          </w:tcPr>
          <w:p w14:paraId="3F91F27A" w14:textId="3CF973C7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79%</w:t>
            </w:r>
          </w:p>
        </w:tc>
        <w:tc>
          <w:tcPr>
            <w:tcW w:w="1120" w:type="dxa"/>
          </w:tcPr>
          <w:p w14:paraId="5D0FF860" w14:textId="48DB73F5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62%</w:t>
            </w:r>
          </w:p>
        </w:tc>
        <w:tc>
          <w:tcPr>
            <w:tcW w:w="999" w:type="dxa"/>
          </w:tcPr>
          <w:p w14:paraId="48B874B5" w14:textId="25FC4F9A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61%</w:t>
            </w:r>
          </w:p>
        </w:tc>
        <w:tc>
          <w:tcPr>
            <w:tcW w:w="1127" w:type="dxa"/>
          </w:tcPr>
          <w:p w14:paraId="67622AEE" w14:textId="5B86995D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39%</w:t>
            </w:r>
          </w:p>
        </w:tc>
        <w:tc>
          <w:tcPr>
            <w:tcW w:w="1276" w:type="dxa"/>
          </w:tcPr>
          <w:p w14:paraId="3C15CADF" w14:textId="55B67D7E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57%</w:t>
            </w:r>
          </w:p>
        </w:tc>
        <w:tc>
          <w:tcPr>
            <w:tcW w:w="1275" w:type="dxa"/>
          </w:tcPr>
          <w:p w14:paraId="2B14A1C2" w14:textId="54F93C83" w:rsidR="00535407" w:rsidRPr="004B3F3C" w:rsidRDefault="00535407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43%</w:t>
            </w:r>
          </w:p>
        </w:tc>
        <w:tc>
          <w:tcPr>
            <w:tcW w:w="851" w:type="dxa"/>
          </w:tcPr>
          <w:p w14:paraId="4BEAE207" w14:textId="78802AE0" w:rsidR="00535407" w:rsidRPr="004B3F3C" w:rsidRDefault="005F65D2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66%</w:t>
            </w:r>
          </w:p>
        </w:tc>
        <w:tc>
          <w:tcPr>
            <w:tcW w:w="912" w:type="dxa"/>
          </w:tcPr>
          <w:p w14:paraId="518E53A9" w14:textId="5339DBED" w:rsidR="00535407" w:rsidRPr="004B3F3C" w:rsidRDefault="005962C4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48%</w:t>
            </w:r>
          </w:p>
        </w:tc>
      </w:tr>
    </w:tbl>
    <w:p w14:paraId="3FA3C28E" w14:textId="77777777" w:rsidR="008126A3" w:rsidRPr="004B3F3C" w:rsidRDefault="008126A3" w:rsidP="004B3F3C">
      <w:pPr>
        <w:spacing w:line="360" w:lineRule="auto"/>
        <w:contextualSpacing/>
        <w:rPr>
          <w:b/>
        </w:rPr>
      </w:pPr>
    </w:p>
    <w:p w14:paraId="5398D7D5" w14:textId="77777777" w:rsidR="009716F8" w:rsidRDefault="009716F8" w:rsidP="004B3F3C">
      <w:pPr>
        <w:spacing w:line="360" w:lineRule="auto"/>
        <w:contextualSpacing/>
        <w:rPr>
          <w:b/>
        </w:rPr>
      </w:pPr>
    </w:p>
    <w:p w14:paraId="0D5BDEC8" w14:textId="4BF562CB" w:rsidR="008126A3" w:rsidRPr="004B3F3C" w:rsidRDefault="008126A3" w:rsidP="004B3F3C">
      <w:pPr>
        <w:spacing w:line="360" w:lineRule="auto"/>
        <w:contextualSpacing/>
        <w:rPr>
          <w:b/>
        </w:rPr>
      </w:pPr>
      <w:r w:rsidRPr="004B3F3C">
        <w:rPr>
          <w:b/>
        </w:rPr>
        <w:t xml:space="preserve">Table </w:t>
      </w:r>
      <w:r w:rsidR="00D808D9" w:rsidRPr="004B3F3C">
        <w:rPr>
          <w:b/>
        </w:rPr>
        <w:t>6</w:t>
      </w:r>
      <w:r w:rsidRPr="004B3F3C">
        <w:rPr>
          <w:b/>
        </w:rPr>
        <w:t xml:space="preserve">: Proportions of young people who never eat breakfast </w:t>
      </w:r>
      <w:r w:rsidR="001025AA" w:rsidRPr="004B3F3C">
        <w:rPr>
          <w:b/>
        </w:rPr>
        <w:t xml:space="preserve">and regular energy drink consumption </w:t>
      </w:r>
      <w:r w:rsidRPr="004B3F3C">
        <w:rPr>
          <w:b/>
        </w:rPr>
        <w:t>by age and gender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0"/>
        <w:gridCol w:w="1061"/>
        <w:gridCol w:w="1046"/>
        <w:gridCol w:w="1032"/>
        <w:gridCol w:w="1054"/>
        <w:gridCol w:w="1052"/>
        <w:gridCol w:w="1075"/>
        <w:gridCol w:w="999"/>
        <w:gridCol w:w="987"/>
      </w:tblGrid>
      <w:tr w:rsidR="00A749DC" w:rsidRPr="004B3F3C" w14:paraId="02351393" w14:textId="28C08715" w:rsidTr="00A749DC">
        <w:tc>
          <w:tcPr>
            <w:tcW w:w="756" w:type="dxa"/>
          </w:tcPr>
          <w:p w14:paraId="187E622B" w14:textId="77777777" w:rsidR="00A749DC" w:rsidRPr="004B3F3C" w:rsidRDefault="00A749DC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2311" w:type="dxa"/>
            <w:gridSpan w:val="2"/>
          </w:tcPr>
          <w:p w14:paraId="4388D859" w14:textId="68A04F35" w:rsidR="00A749DC" w:rsidRPr="004B3F3C" w:rsidRDefault="00A749DC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11 years</w:t>
            </w:r>
          </w:p>
        </w:tc>
        <w:tc>
          <w:tcPr>
            <w:tcW w:w="2255" w:type="dxa"/>
            <w:gridSpan w:val="2"/>
          </w:tcPr>
          <w:p w14:paraId="73E0A82B" w14:textId="7ACB7B0C" w:rsidR="00A749DC" w:rsidRPr="004B3F3C" w:rsidRDefault="00A749DC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13 years</w:t>
            </w:r>
          </w:p>
        </w:tc>
        <w:tc>
          <w:tcPr>
            <w:tcW w:w="2365" w:type="dxa"/>
            <w:gridSpan w:val="2"/>
          </w:tcPr>
          <w:p w14:paraId="0CA071A9" w14:textId="0BE123AE" w:rsidR="00A749DC" w:rsidRPr="004B3F3C" w:rsidRDefault="00A749DC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Age 15 years</w:t>
            </w:r>
          </w:p>
        </w:tc>
        <w:tc>
          <w:tcPr>
            <w:tcW w:w="1555" w:type="dxa"/>
            <w:gridSpan w:val="2"/>
          </w:tcPr>
          <w:p w14:paraId="7D0B078B" w14:textId="48BD67CC" w:rsidR="00A749DC" w:rsidRPr="004B3F3C" w:rsidRDefault="00A749DC" w:rsidP="004B3F3C">
            <w:pPr>
              <w:spacing w:line="360" w:lineRule="auto"/>
              <w:contextualSpacing/>
              <w:jc w:val="center"/>
              <w:rPr>
                <w:b/>
              </w:rPr>
            </w:pPr>
            <w:r w:rsidRPr="004B3F3C">
              <w:rPr>
                <w:b/>
              </w:rPr>
              <w:t>Totals</w:t>
            </w:r>
          </w:p>
        </w:tc>
      </w:tr>
      <w:tr w:rsidR="00A749DC" w:rsidRPr="004B3F3C" w14:paraId="74E610C1" w14:textId="2B2D5450" w:rsidTr="007241EB">
        <w:tc>
          <w:tcPr>
            <w:tcW w:w="756" w:type="dxa"/>
          </w:tcPr>
          <w:p w14:paraId="493CA433" w14:textId="77777777" w:rsidR="00A749DC" w:rsidRPr="004B3F3C" w:rsidRDefault="00A749DC" w:rsidP="004B3F3C">
            <w:pPr>
              <w:spacing w:line="360" w:lineRule="auto"/>
              <w:contextualSpacing/>
              <w:rPr>
                <w:b/>
                <w:i/>
              </w:rPr>
            </w:pPr>
          </w:p>
        </w:tc>
        <w:tc>
          <w:tcPr>
            <w:tcW w:w="1165" w:type="dxa"/>
          </w:tcPr>
          <w:p w14:paraId="36742267" w14:textId="27A07C10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146" w:type="dxa"/>
          </w:tcPr>
          <w:p w14:paraId="2058AD26" w14:textId="33A5A398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</w:t>
            </w:r>
            <w:r w:rsidR="00F025EE" w:rsidRPr="004B3F3C">
              <w:rPr>
                <w:b/>
              </w:rPr>
              <w:t xml:space="preserve"> a week</w:t>
            </w:r>
          </w:p>
        </w:tc>
        <w:tc>
          <w:tcPr>
            <w:tcW w:w="1087" w:type="dxa"/>
          </w:tcPr>
          <w:p w14:paraId="04F75B95" w14:textId="0D2A87BA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168" w:type="dxa"/>
          </w:tcPr>
          <w:p w14:paraId="20810F44" w14:textId="7481BA75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</w:t>
            </w:r>
            <w:r w:rsidR="00F025EE" w:rsidRPr="004B3F3C">
              <w:rPr>
                <w:b/>
              </w:rPr>
              <w:t xml:space="preserve"> a week</w:t>
            </w:r>
          </w:p>
        </w:tc>
        <w:tc>
          <w:tcPr>
            <w:tcW w:w="1142" w:type="dxa"/>
          </w:tcPr>
          <w:p w14:paraId="123356A8" w14:textId="21BDD715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1223" w:type="dxa"/>
          </w:tcPr>
          <w:p w14:paraId="56903249" w14:textId="0AF1130E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</w:t>
            </w:r>
            <w:r w:rsidR="00F025EE" w:rsidRPr="004B3F3C">
              <w:rPr>
                <w:b/>
              </w:rPr>
              <w:t xml:space="preserve"> a week</w:t>
            </w:r>
          </w:p>
        </w:tc>
        <w:tc>
          <w:tcPr>
            <w:tcW w:w="777" w:type="dxa"/>
          </w:tcPr>
          <w:p w14:paraId="50D12825" w14:textId="13F57BDF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HBSC England National rate</w:t>
            </w:r>
          </w:p>
        </w:tc>
        <w:tc>
          <w:tcPr>
            <w:tcW w:w="778" w:type="dxa"/>
          </w:tcPr>
          <w:p w14:paraId="05083B70" w14:textId="6A31CEAC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Drinking energy drinks 2-4 times a week</w:t>
            </w:r>
          </w:p>
        </w:tc>
      </w:tr>
      <w:tr w:rsidR="00A749DC" w:rsidRPr="004B3F3C" w14:paraId="1D7007D1" w14:textId="27DCD7E9" w:rsidTr="007241EB">
        <w:tc>
          <w:tcPr>
            <w:tcW w:w="756" w:type="dxa"/>
          </w:tcPr>
          <w:p w14:paraId="391DAE14" w14:textId="77777777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Boy</w:t>
            </w:r>
          </w:p>
        </w:tc>
        <w:tc>
          <w:tcPr>
            <w:tcW w:w="1165" w:type="dxa"/>
          </w:tcPr>
          <w:p w14:paraId="42AC19BF" w14:textId="582BE95F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4%</w:t>
            </w:r>
          </w:p>
        </w:tc>
        <w:tc>
          <w:tcPr>
            <w:tcW w:w="1146" w:type="dxa"/>
          </w:tcPr>
          <w:p w14:paraId="5F647E1D" w14:textId="7829C10B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7%</w:t>
            </w:r>
          </w:p>
        </w:tc>
        <w:tc>
          <w:tcPr>
            <w:tcW w:w="1087" w:type="dxa"/>
          </w:tcPr>
          <w:p w14:paraId="2D47148C" w14:textId="4439D0C4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11%</w:t>
            </w:r>
          </w:p>
        </w:tc>
        <w:tc>
          <w:tcPr>
            <w:tcW w:w="1168" w:type="dxa"/>
          </w:tcPr>
          <w:p w14:paraId="1AEC1BEC" w14:textId="2B1D9BB5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21%</w:t>
            </w:r>
          </w:p>
        </w:tc>
        <w:tc>
          <w:tcPr>
            <w:tcW w:w="1142" w:type="dxa"/>
          </w:tcPr>
          <w:p w14:paraId="6EF7F723" w14:textId="40FF4FE5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14%</w:t>
            </w:r>
          </w:p>
        </w:tc>
        <w:tc>
          <w:tcPr>
            <w:tcW w:w="1223" w:type="dxa"/>
          </w:tcPr>
          <w:p w14:paraId="39D0E1B7" w14:textId="6F300F0C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27%</w:t>
            </w:r>
          </w:p>
        </w:tc>
        <w:tc>
          <w:tcPr>
            <w:tcW w:w="777" w:type="dxa"/>
          </w:tcPr>
          <w:p w14:paraId="421822E9" w14:textId="13D281DE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10</w:t>
            </w:r>
          </w:p>
        </w:tc>
        <w:tc>
          <w:tcPr>
            <w:tcW w:w="778" w:type="dxa"/>
          </w:tcPr>
          <w:p w14:paraId="5E53BD2A" w14:textId="6057F664" w:rsidR="00A749DC" w:rsidRPr="004B3F3C" w:rsidRDefault="00E37D75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18%</w:t>
            </w:r>
          </w:p>
        </w:tc>
      </w:tr>
      <w:tr w:rsidR="00A749DC" w:rsidRPr="004B3F3C" w14:paraId="07F829D9" w14:textId="4D8CE4F3" w:rsidTr="007241EB">
        <w:tc>
          <w:tcPr>
            <w:tcW w:w="756" w:type="dxa"/>
          </w:tcPr>
          <w:p w14:paraId="6DE8AAB3" w14:textId="77777777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Girl</w:t>
            </w:r>
          </w:p>
        </w:tc>
        <w:tc>
          <w:tcPr>
            <w:tcW w:w="1165" w:type="dxa"/>
          </w:tcPr>
          <w:p w14:paraId="11E983B3" w14:textId="27A4CBC3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8%</w:t>
            </w:r>
          </w:p>
        </w:tc>
        <w:tc>
          <w:tcPr>
            <w:tcW w:w="1146" w:type="dxa"/>
          </w:tcPr>
          <w:p w14:paraId="466E2871" w14:textId="74DFAE97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17%</w:t>
            </w:r>
          </w:p>
        </w:tc>
        <w:tc>
          <w:tcPr>
            <w:tcW w:w="1087" w:type="dxa"/>
          </w:tcPr>
          <w:p w14:paraId="0B125CA8" w14:textId="790AB70E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22%</w:t>
            </w:r>
          </w:p>
        </w:tc>
        <w:tc>
          <w:tcPr>
            <w:tcW w:w="1168" w:type="dxa"/>
          </w:tcPr>
          <w:p w14:paraId="5A795832" w14:textId="29EB3FE7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41%</w:t>
            </w:r>
          </w:p>
        </w:tc>
        <w:tc>
          <w:tcPr>
            <w:tcW w:w="1142" w:type="dxa"/>
          </w:tcPr>
          <w:p w14:paraId="7C3954B8" w14:textId="1DA8C8E7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24%</w:t>
            </w:r>
          </w:p>
        </w:tc>
        <w:tc>
          <w:tcPr>
            <w:tcW w:w="1223" w:type="dxa"/>
          </w:tcPr>
          <w:p w14:paraId="3E741FE3" w14:textId="21BE23FE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44%</w:t>
            </w:r>
          </w:p>
        </w:tc>
        <w:tc>
          <w:tcPr>
            <w:tcW w:w="777" w:type="dxa"/>
          </w:tcPr>
          <w:p w14:paraId="50429D6C" w14:textId="0DCCCBE9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18</w:t>
            </w:r>
          </w:p>
        </w:tc>
        <w:tc>
          <w:tcPr>
            <w:tcW w:w="778" w:type="dxa"/>
          </w:tcPr>
          <w:p w14:paraId="31381F50" w14:textId="299436CB" w:rsidR="00A749DC" w:rsidRPr="004B3F3C" w:rsidRDefault="00E37D75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34%</w:t>
            </w:r>
          </w:p>
        </w:tc>
      </w:tr>
      <w:tr w:rsidR="00A749DC" w:rsidRPr="004B3F3C" w14:paraId="60DFBBB9" w14:textId="5115FC27" w:rsidTr="007241EB">
        <w:tc>
          <w:tcPr>
            <w:tcW w:w="756" w:type="dxa"/>
          </w:tcPr>
          <w:p w14:paraId="0944EEAA" w14:textId="24B710FD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Total</w:t>
            </w:r>
          </w:p>
        </w:tc>
        <w:tc>
          <w:tcPr>
            <w:tcW w:w="1165" w:type="dxa"/>
          </w:tcPr>
          <w:p w14:paraId="3484A46F" w14:textId="2E679E4D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6%</w:t>
            </w:r>
          </w:p>
        </w:tc>
        <w:tc>
          <w:tcPr>
            <w:tcW w:w="1146" w:type="dxa"/>
          </w:tcPr>
          <w:p w14:paraId="5FA50466" w14:textId="5830CB9C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12%</w:t>
            </w:r>
          </w:p>
        </w:tc>
        <w:tc>
          <w:tcPr>
            <w:tcW w:w="1087" w:type="dxa"/>
          </w:tcPr>
          <w:p w14:paraId="58A6A13C" w14:textId="62FFFF21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17%</w:t>
            </w:r>
          </w:p>
        </w:tc>
        <w:tc>
          <w:tcPr>
            <w:tcW w:w="1168" w:type="dxa"/>
          </w:tcPr>
          <w:p w14:paraId="0B844F05" w14:textId="11EB7E91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31%</w:t>
            </w:r>
          </w:p>
        </w:tc>
        <w:tc>
          <w:tcPr>
            <w:tcW w:w="1142" w:type="dxa"/>
          </w:tcPr>
          <w:p w14:paraId="6DD82C95" w14:textId="12633188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19%</w:t>
            </w:r>
          </w:p>
        </w:tc>
        <w:tc>
          <w:tcPr>
            <w:tcW w:w="1223" w:type="dxa"/>
          </w:tcPr>
          <w:p w14:paraId="1933520F" w14:textId="026FF25F" w:rsidR="00A749DC" w:rsidRPr="004B3F3C" w:rsidRDefault="00A749DC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36%</w:t>
            </w:r>
          </w:p>
        </w:tc>
        <w:tc>
          <w:tcPr>
            <w:tcW w:w="777" w:type="dxa"/>
          </w:tcPr>
          <w:p w14:paraId="58D6DBA4" w14:textId="04B76E35" w:rsidR="00A749DC" w:rsidRPr="004B3F3C" w:rsidRDefault="00F025EE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14</w:t>
            </w:r>
          </w:p>
        </w:tc>
        <w:tc>
          <w:tcPr>
            <w:tcW w:w="778" w:type="dxa"/>
          </w:tcPr>
          <w:p w14:paraId="537757EE" w14:textId="3606C2C4" w:rsidR="00A749DC" w:rsidRPr="004B3F3C" w:rsidRDefault="00E37D75" w:rsidP="004B3F3C">
            <w:pPr>
              <w:spacing w:line="360" w:lineRule="auto"/>
              <w:contextualSpacing/>
              <w:rPr>
                <w:b/>
              </w:rPr>
            </w:pPr>
            <w:r w:rsidRPr="004B3F3C">
              <w:rPr>
                <w:b/>
              </w:rPr>
              <w:t>26%</w:t>
            </w:r>
          </w:p>
        </w:tc>
      </w:tr>
    </w:tbl>
    <w:p w14:paraId="566A3043" w14:textId="77777777" w:rsidR="008126A3" w:rsidRPr="004B3F3C" w:rsidRDefault="008126A3" w:rsidP="004B3F3C">
      <w:pPr>
        <w:spacing w:line="360" w:lineRule="auto"/>
        <w:contextualSpacing/>
      </w:pPr>
    </w:p>
    <w:p w14:paraId="13265247" w14:textId="7DCF166F" w:rsidR="00AE0553" w:rsidRPr="009716F8" w:rsidRDefault="00AE0553" w:rsidP="004B3F3C">
      <w:pPr>
        <w:spacing w:line="360" w:lineRule="auto"/>
        <w:contextualSpacing/>
        <w:rPr>
          <w:b/>
        </w:rPr>
      </w:pPr>
      <w:r w:rsidRPr="004B3F3C">
        <w:rPr>
          <w:b/>
          <w:i/>
        </w:rPr>
        <w:t>Physical activity</w:t>
      </w:r>
    </w:p>
    <w:p w14:paraId="62ECB14E" w14:textId="60321AE9" w:rsidR="009716F8" w:rsidRPr="00A55BBC" w:rsidRDefault="00E2734D" w:rsidP="004B3F3C">
      <w:pPr>
        <w:spacing w:line="360" w:lineRule="auto"/>
        <w:contextualSpacing/>
      </w:pPr>
      <w:r w:rsidRPr="004B3F3C">
        <w:t>A</w:t>
      </w:r>
      <w:r w:rsidR="001025AA" w:rsidRPr="004B3F3C">
        <w:t xml:space="preserve"> significant </w:t>
      </w:r>
      <w:r w:rsidRPr="004B3F3C">
        <w:t>association was found between engagement in phys</w:t>
      </w:r>
      <w:r w:rsidR="001025AA" w:rsidRPr="004B3F3C">
        <w:t>ical activity and energy drink consumption</w:t>
      </w:r>
      <w:r w:rsidR="004C2F3B" w:rsidRPr="004B3F3C">
        <w:t xml:space="preserve">. Overall those who meet the recommended levels of physical activity </w:t>
      </w:r>
      <w:r w:rsidR="00A56945" w:rsidRPr="004B3F3C">
        <w:t xml:space="preserve">of one hour a day </w:t>
      </w:r>
      <w:r w:rsidR="00DE1047" w:rsidRPr="004B3F3C">
        <w:t>were more likely to report higher levels of energy drink consumption</w:t>
      </w:r>
      <w:r w:rsidR="00947271" w:rsidRPr="004B3F3C">
        <w:t>,</w:t>
      </w:r>
      <w:r w:rsidR="00DE1047" w:rsidRPr="004B3F3C">
        <w:t xml:space="preserve"> than those who do not consume energy drinks</w:t>
      </w:r>
      <w:r w:rsidR="00947271" w:rsidRPr="004B3F3C">
        <w:t xml:space="preserve">, i.e. </w:t>
      </w:r>
      <w:r w:rsidR="00DE1047" w:rsidRPr="004B3F3C">
        <w:t xml:space="preserve">35% of daily energy drink </w:t>
      </w:r>
      <w:r w:rsidR="004C1412" w:rsidRPr="004B3F3C">
        <w:t>consumers and 24% of those who</w:t>
      </w:r>
      <w:r w:rsidR="00DE1047" w:rsidRPr="004B3F3C">
        <w:t xml:space="preserve"> co</w:t>
      </w:r>
      <w:r w:rsidR="00947271" w:rsidRPr="004B3F3C">
        <w:t>nsume</w:t>
      </w:r>
      <w:r w:rsidR="008C00B8" w:rsidRPr="004B3F3C">
        <w:t xml:space="preserve"> </w:t>
      </w:r>
      <w:r w:rsidR="00DE1047" w:rsidRPr="004B3F3C">
        <w:t xml:space="preserve">energy drinks 2-4 time a week (regular consumers) </w:t>
      </w:r>
      <w:r w:rsidR="004C1412" w:rsidRPr="004B3F3C">
        <w:t>report</w:t>
      </w:r>
      <w:r w:rsidR="00947271" w:rsidRPr="004B3F3C">
        <w:t>ed</w:t>
      </w:r>
      <w:r w:rsidR="004C1412" w:rsidRPr="004B3F3C">
        <w:t xml:space="preserve"> meeting t</w:t>
      </w:r>
      <w:r w:rsidR="00947271" w:rsidRPr="004B3F3C">
        <w:t xml:space="preserve">he recommended physical </w:t>
      </w:r>
      <w:r w:rsidR="00947271" w:rsidRPr="004B3F3C">
        <w:lastRenderedPageBreak/>
        <w:t>activity</w:t>
      </w:r>
      <w:r w:rsidR="004C1412" w:rsidRPr="004B3F3C">
        <w:t xml:space="preserve"> levels  (for the sample as a whole this figure is 19%) </w:t>
      </w:r>
      <w:r w:rsidR="00F9058C" w:rsidRPr="004B3F3C">
        <w:t>(</w:t>
      </w:r>
      <w:r w:rsidR="00742B79" w:rsidRPr="004B3F3C">
        <w:t xml:space="preserve">figure </w:t>
      </w:r>
      <w:r w:rsidR="009716F8">
        <w:t>6</w:t>
      </w:r>
      <w:r w:rsidR="00A56945" w:rsidRPr="004B3F3C">
        <w:t>)</w:t>
      </w:r>
      <w:r w:rsidR="00DE1047" w:rsidRPr="004B3F3C">
        <w:t>.</w:t>
      </w:r>
      <w:r w:rsidR="004C1412" w:rsidRPr="004B3F3C">
        <w:t xml:space="preserve"> </w:t>
      </w:r>
      <w:r w:rsidR="00A55BBC" w:rsidRPr="004B3F3C">
        <w:t>However,</w:t>
      </w:r>
      <w:r w:rsidR="004C1412" w:rsidRPr="004B3F3C">
        <w:t xml:space="preserve"> the relationship </w:t>
      </w:r>
      <w:r w:rsidR="00947271" w:rsidRPr="004B3F3C">
        <w:t xml:space="preserve">is highly </w:t>
      </w:r>
      <w:r w:rsidR="00A55BBC" w:rsidRPr="004B3F3C">
        <w:t>gendered,</w:t>
      </w:r>
      <w:r w:rsidR="00947271" w:rsidRPr="004B3F3C">
        <w:t xml:space="preserve"> and the association only operates for boys - boys who reported they never consume energy drinks are less likely to meet the recommended level of physical activity than boys who reported dri</w:t>
      </w:r>
      <w:r w:rsidR="00F9058C" w:rsidRPr="004B3F3C">
        <w:t>nking 2-4 t</w:t>
      </w:r>
      <w:r w:rsidR="00742B79" w:rsidRPr="004B3F3C">
        <w:t>imes a wee</w:t>
      </w:r>
      <w:r w:rsidR="00273434" w:rsidRPr="004B3F3C">
        <w:t xml:space="preserve">k or daily (figures </w:t>
      </w:r>
      <w:r w:rsidR="009716F8">
        <w:t>7</w:t>
      </w:r>
      <w:r w:rsidR="00273434" w:rsidRPr="004B3F3C">
        <w:t xml:space="preserve">, </w:t>
      </w:r>
      <w:r w:rsidR="00A55BBC">
        <w:t>8</w:t>
      </w:r>
      <w:r w:rsidR="00A55BBC" w:rsidRPr="004B3F3C">
        <w:t>)</w:t>
      </w:r>
      <w:r w:rsidR="00F9058C" w:rsidRPr="004B3F3C">
        <w:t>.</w:t>
      </w:r>
    </w:p>
    <w:p w14:paraId="14399CC8" w14:textId="77777777" w:rsidR="009716F8" w:rsidRDefault="009716F8" w:rsidP="004B3F3C">
      <w:pPr>
        <w:spacing w:line="360" w:lineRule="auto"/>
        <w:contextualSpacing/>
        <w:rPr>
          <w:b/>
          <w:bCs/>
        </w:rPr>
      </w:pPr>
    </w:p>
    <w:p w14:paraId="23C53792" w14:textId="23FDCC81" w:rsidR="00024EEB" w:rsidRPr="004B3F3C" w:rsidRDefault="00024EEB" w:rsidP="004B3F3C">
      <w:pPr>
        <w:spacing w:line="360" w:lineRule="auto"/>
        <w:contextualSpacing/>
      </w:pPr>
      <w:r w:rsidRPr="004B3F3C">
        <w:rPr>
          <w:b/>
          <w:bCs/>
        </w:rPr>
        <w:t xml:space="preserve">Figure </w:t>
      </w:r>
      <w:r w:rsidR="009716F8">
        <w:rPr>
          <w:b/>
          <w:bCs/>
        </w:rPr>
        <w:t>6</w:t>
      </w:r>
      <w:r w:rsidR="00947271" w:rsidRPr="004B3F3C">
        <w:rPr>
          <w:b/>
          <w:bCs/>
        </w:rPr>
        <w:t xml:space="preserve">: </w:t>
      </w:r>
      <w:r w:rsidRPr="004B3F3C">
        <w:rPr>
          <w:b/>
          <w:bCs/>
        </w:rPr>
        <w:t xml:space="preserve">Young people who meet the recommended level of physical activity </w:t>
      </w:r>
    </w:p>
    <w:p w14:paraId="4D721FA7" w14:textId="77777777" w:rsidR="00AE0553" w:rsidRPr="004B3F3C" w:rsidRDefault="00AE0553" w:rsidP="004B3F3C">
      <w:pPr>
        <w:spacing w:line="360" w:lineRule="auto"/>
        <w:contextualSpacing/>
        <w:rPr>
          <w:b/>
        </w:rPr>
      </w:pPr>
      <w:r w:rsidRPr="004B3F3C">
        <w:rPr>
          <w:noProof/>
          <w:lang w:eastAsia="en-GB"/>
        </w:rPr>
        <w:drawing>
          <wp:inline distT="0" distB="0" distL="0" distR="0" wp14:anchorId="16F41FA1" wp14:editId="3E896EA4">
            <wp:extent cx="4235450" cy="2596551"/>
            <wp:effectExtent l="0" t="0" r="12700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65BF4BE" w14:textId="77777777" w:rsidR="00024EEB" w:rsidRPr="004B3F3C" w:rsidRDefault="00024EEB" w:rsidP="004B3F3C">
      <w:pPr>
        <w:spacing w:line="360" w:lineRule="auto"/>
        <w:contextualSpacing/>
        <w:rPr>
          <w:b/>
        </w:rPr>
      </w:pPr>
    </w:p>
    <w:p w14:paraId="2E352049" w14:textId="16670547" w:rsidR="00AE0553" w:rsidRPr="004B3F3C" w:rsidRDefault="00425B9E" w:rsidP="004B3F3C">
      <w:pPr>
        <w:spacing w:line="360" w:lineRule="auto"/>
        <w:contextualSpacing/>
        <w:rPr>
          <w:b/>
        </w:rPr>
      </w:pPr>
      <w:r w:rsidRPr="004B3F3C">
        <w:rPr>
          <w:b/>
        </w:rPr>
        <w:t xml:space="preserve">Figure </w:t>
      </w:r>
      <w:r w:rsidR="009716F8">
        <w:rPr>
          <w:b/>
        </w:rPr>
        <w:t>7</w:t>
      </w:r>
      <w:r w:rsidR="00947271" w:rsidRPr="004B3F3C">
        <w:rPr>
          <w:b/>
        </w:rPr>
        <w:t xml:space="preserve">: </w:t>
      </w:r>
      <w:r w:rsidR="00F3631A" w:rsidRPr="004B3F3C">
        <w:rPr>
          <w:b/>
        </w:rPr>
        <w:t xml:space="preserve">Proportions of young people </w:t>
      </w:r>
      <w:r w:rsidR="00102429" w:rsidRPr="004B3F3C">
        <w:rPr>
          <w:b/>
        </w:rPr>
        <w:t>who</w:t>
      </w:r>
      <w:r w:rsidRPr="004B3F3C">
        <w:rPr>
          <w:b/>
        </w:rPr>
        <w:t xml:space="preserve"> </w:t>
      </w:r>
      <w:r w:rsidR="00920C55" w:rsidRPr="004B3F3C">
        <w:rPr>
          <w:b/>
        </w:rPr>
        <w:t xml:space="preserve">consume energy drinks daily and </w:t>
      </w:r>
      <w:r w:rsidRPr="004B3F3C">
        <w:rPr>
          <w:b/>
        </w:rPr>
        <w:t xml:space="preserve">undertake one hour of physical activity </w:t>
      </w:r>
      <w:r w:rsidR="00920C55" w:rsidRPr="004B3F3C">
        <w:rPr>
          <w:b/>
        </w:rPr>
        <w:t>a day.</w:t>
      </w:r>
    </w:p>
    <w:p w14:paraId="5AEE9EA5" w14:textId="77777777" w:rsidR="00671E40" w:rsidRPr="004B3F3C" w:rsidRDefault="00AE0553" w:rsidP="004B3F3C">
      <w:pPr>
        <w:spacing w:line="360" w:lineRule="auto"/>
        <w:contextualSpacing/>
        <w:rPr>
          <w:b/>
        </w:rPr>
      </w:pPr>
      <w:r w:rsidRPr="004B3F3C">
        <w:rPr>
          <w:noProof/>
          <w:lang w:eastAsia="en-GB"/>
        </w:rPr>
        <w:drawing>
          <wp:inline distT="0" distB="0" distL="0" distR="0" wp14:anchorId="53CF4CBC" wp14:editId="136F58EA">
            <wp:extent cx="4261449" cy="2613660"/>
            <wp:effectExtent l="0" t="0" r="635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D76A98D" w14:textId="77777777" w:rsidR="009716F8" w:rsidRDefault="009716F8" w:rsidP="004B3F3C">
      <w:pPr>
        <w:spacing w:line="360" w:lineRule="auto"/>
        <w:contextualSpacing/>
        <w:rPr>
          <w:b/>
        </w:rPr>
      </w:pPr>
    </w:p>
    <w:p w14:paraId="081FDA64" w14:textId="77777777" w:rsidR="009716F8" w:rsidRDefault="009716F8" w:rsidP="004B3F3C">
      <w:pPr>
        <w:spacing w:line="360" w:lineRule="auto"/>
        <w:contextualSpacing/>
        <w:rPr>
          <w:b/>
        </w:rPr>
      </w:pPr>
    </w:p>
    <w:p w14:paraId="1A1D198A" w14:textId="77777777" w:rsidR="009716F8" w:rsidRDefault="009716F8" w:rsidP="004B3F3C">
      <w:pPr>
        <w:spacing w:line="360" w:lineRule="auto"/>
        <w:contextualSpacing/>
        <w:rPr>
          <w:b/>
        </w:rPr>
      </w:pPr>
    </w:p>
    <w:p w14:paraId="529E048F" w14:textId="1B0F8D69" w:rsidR="00947271" w:rsidRPr="004B3F3C" w:rsidRDefault="00742B79" w:rsidP="004B3F3C">
      <w:pPr>
        <w:spacing w:line="360" w:lineRule="auto"/>
        <w:contextualSpacing/>
        <w:rPr>
          <w:b/>
        </w:rPr>
      </w:pPr>
      <w:r w:rsidRPr="004B3F3C">
        <w:rPr>
          <w:b/>
        </w:rPr>
        <w:lastRenderedPageBreak/>
        <w:t xml:space="preserve">Figure </w:t>
      </w:r>
      <w:r w:rsidR="009716F8">
        <w:rPr>
          <w:b/>
        </w:rPr>
        <w:t>8</w:t>
      </w:r>
      <w:r w:rsidR="00F530DF" w:rsidRPr="004B3F3C">
        <w:rPr>
          <w:b/>
        </w:rPr>
        <w:t xml:space="preserve">: </w:t>
      </w:r>
      <w:r w:rsidR="00947271" w:rsidRPr="004B3F3C">
        <w:rPr>
          <w:b/>
        </w:rPr>
        <w:t xml:space="preserve"> </w:t>
      </w:r>
      <w:r w:rsidR="00917F65" w:rsidRPr="004B3F3C">
        <w:rPr>
          <w:b/>
        </w:rPr>
        <w:t>Proportions of young people who undertake one hour of physical activity by consumption of</w:t>
      </w:r>
      <w:r w:rsidR="00947271" w:rsidRPr="004B3F3C">
        <w:rPr>
          <w:b/>
        </w:rPr>
        <w:t xml:space="preserve"> </w:t>
      </w:r>
      <w:r w:rsidR="00F530DF" w:rsidRPr="004B3F3C">
        <w:rPr>
          <w:b/>
        </w:rPr>
        <w:t>energy drinks 2-4 times a week.</w:t>
      </w:r>
    </w:p>
    <w:p w14:paraId="13A63E19" w14:textId="77777777" w:rsidR="00947271" w:rsidRPr="004B3F3C" w:rsidRDefault="00947271" w:rsidP="004B3F3C">
      <w:pPr>
        <w:spacing w:line="360" w:lineRule="auto"/>
        <w:contextualSpacing/>
        <w:rPr>
          <w:b/>
        </w:rPr>
      </w:pPr>
      <w:r w:rsidRPr="004B3F3C">
        <w:rPr>
          <w:noProof/>
          <w:lang w:eastAsia="en-GB"/>
        </w:rPr>
        <w:drawing>
          <wp:inline distT="0" distB="0" distL="0" distR="0" wp14:anchorId="6BA8F0B0" wp14:editId="2F904E27">
            <wp:extent cx="4520242" cy="2743200"/>
            <wp:effectExtent l="0" t="0" r="1397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730F83" w14:textId="77777777" w:rsidR="00A55BBC" w:rsidRDefault="00A55BBC" w:rsidP="004B3F3C">
      <w:pPr>
        <w:spacing w:line="360" w:lineRule="auto"/>
        <w:contextualSpacing/>
        <w:rPr>
          <w:b/>
          <w:bCs/>
          <w:i/>
        </w:rPr>
      </w:pPr>
    </w:p>
    <w:p w14:paraId="0AAE26A6" w14:textId="04644336" w:rsidR="00871DE2" w:rsidRPr="004B3F3C" w:rsidRDefault="00871DE2" w:rsidP="004B3F3C">
      <w:pPr>
        <w:spacing w:line="360" w:lineRule="auto"/>
        <w:contextualSpacing/>
        <w:rPr>
          <w:b/>
          <w:bCs/>
          <w:i/>
        </w:rPr>
      </w:pPr>
      <w:r w:rsidRPr="004B3F3C">
        <w:rPr>
          <w:b/>
          <w:bCs/>
          <w:i/>
        </w:rPr>
        <w:t xml:space="preserve">Sleep </w:t>
      </w:r>
    </w:p>
    <w:p w14:paraId="560D7629" w14:textId="347B1D84" w:rsidR="00871DE2" w:rsidRPr="004B3F3C" w:rsidRDefault="00871DE2" w:rsidP="004B3F3C">
      <w:pPr>
        <w:spacing w:line="360" w:lineRule="auto"/>
        <w:contextualSpacing/>
      </w:pPr>
      <w:r w:rsidRPr="004B3F3C">
        <w:t xml:space="preserve">Young people who never drink energy drinks are less likely to report they did not have enough sleep to concentrate at school than those who consume energy drinks, 18% of those who never consumed energy drinks reported that lack of sleep impacted on their ability to concentrate at school compared to 34% of </w:t>
      </w:r>
      <w:r w:rsidR="00A55BBC">
        <w:t xml:space="preserve">regular </w:t>
      </w:r>
      <w:r w:rsidRPr="004B3F3C">
        <w:t>energy drinkers (22% for sample as a whole)</w:t>
      </w:r>
      <w:r w:rsidR="00A55BBC">
        <w:t xml:space="preserve"> (Figures 9and 10)</w:t>
      </w:r>
    </w:p>
    <w:p w14:paraId="1810EBFA" w14:textId="77777777" w:rsidR="00A55BBC" w:rsidRDefault="00A55BBC" w:rsidP="004B3F3C">
      <w:pPr>
        <w:spacing w:line="360" w:lineRule="auto"/>
        <w:contextualSpacing/>
        <w:rPr>
          <w:b/>
          <w:bCs/>
        </w:rPr>
      </w:pPr>
    </w:p>
    <w:p w14:paraId="5D7AE426" w14:textId="1F4E3AD7" w:rsidR="00871DE2" w:rsidRPr="004B3F3C" w:rsidRDefault="00871DE2" w:rsidP="004B3F3C">
      <w:pPr>
        <w:spacing w:line="360" w:lineRule="auto"/>
        <w:contextualSpacing/>
        <w:rPr>
          <w:b/>
        </w:rPr>
      </w:pPr>
      <w:r w:rsidRPr="004B3F3C">
        <w:rPr>
          <w:b/>
          <w:bCs/>
        </w:rPr>
        <w:t>Figure</w:t>
      </w:r>
      <w:r w:rsidRPr="004B3F3C">
        <w:rPr>
          <w:b/>
        </w:rPr>
        <w:t xml:space="preserve"> </w:t>
      </w:r>
      <w:r w:rsidR="00A55BBC">
        <w:rPr>
          <w:b/>
        </w:rPr>
        <w:t>9</w:t>
      </w:r>
      <w:r w:rsidRPr="004B3F3C">
        <w:rPr>
          <w:b/>
        </w:rPr>
        <w:t>: Young people who report not having enough sleep to be able to concentrate at school.</w:t>
      </w:r>
    </w:p>
    <w:p w14:paraId="4E8F7D2A" w14:textId="77777777" w:rsidR="00871DE2" w:rsidRPr="004B3F3C" w:rsidRDefault="00871DE2" w:rsidP="004B3F3C">
      <w:pPr>
        <w:spacing w:line="360" w:lineRule="auto"/>
        <w:contextualSpacing/>
      </w:pPr>
      <w:r w:rsidRPr="004B3F3C">
        <w:rPr>
          <w:noProof/>
          <w:lang w:eastAsia="en-GB"/>
        </w:rPr>
        <w:drawing>
          <wp:inline distT="0" distB="0" distL="0" distR="0" wp14:anchorId="737E7C6A" wp14:editId="405A6225">
            <wp:extent cx="4450715" cy="2562045"/>
            <wp:effectExtent l="0" t="0" r="6985" b="10160"/>
            <wp:docPr id="1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C19BA8" w14:textId="77777777" w:rsidR="00871DE2" w:rsidRPr="004B3F3C" w:rsidRDefault="00871DE2" w:rsidP="004B3F3C">
      <w:pPr>
        <w:spacing w:line="360" w:lineRule="auto"/>
        <w:contextualSpacing/>
        <w:rPr>
          <w:b/>
        </w:rPr>
      </w:pPr>
    </w:p>
    <w:p w14:paraId="47D9EC6C" w14:textId="77777777" w:rsidR="00803F25" w:rsidRDefault="00803F25" w:rsidP="004B3F3C">
      <w:pPr>
        <w:spacing w:line="360" w:lineRule="auto"/>
        <w:contextualSpacing/>
        <w:rPr>
          <w:b/>
        </w:rPr>
      </w:pPr>
    </w:p>
    <w:p w14:paraId="2B7D6F59" w14:textId="22CFD807" w:rsidR="00871DE2" w:rsidRPr="004B3F3C" w:rsidRDefault="00871DE2" w:rsidP="004B3F3C">
      <w:pPr>
        <w:spacing w:line="360" w:lineRule="auto"/>
        <w:contextualSpacing/>
        <w:rPr>
          <w:b/>
        </w:rPr>
      </w:pPr>
      <w:r w:rsidRPr="004B3F3C">
        <w:rPr>
          <w:b/>
        </w:rPr>
        <w:lastRenderedPageBreak/>
        <w:t>Figure 1</w:t>
      </w:r>
      <w:r w:rsidR="00803F25">
        <w:rPr>
          <w:b/>
        </w:rPr>
        <w:t>0</w:t>
      </w:r>
      <w:r w:rsidRPr="004B3F3C">
        <w:rPr>
          <w:b/>
        </w:rPr>
        <w:t xml:space="preserve"> Proportion of young people who reported not having enough sleep by regular energy drink consumption (2-4 times a week).</w:t>
      </w:r>
    </w:p>
    <w:p w14:paraId="062571CB" w14:textId="77777777" w:rsidR="00871DE2" w:rsidRPr="004B3F3C" w:rsidRDefault="00871DE2" w:rsidP="004B3F3C">
      <w:pPr>
        <w:spacing w:line="360" w:lineRule="auto"/>
        <w:contextualSpacing/>
      </w:pPr>
      <w:r w:rsidRPr="004B3F3C">
        <w:rPr>
          <w:noProof/>
          <w:lang w:eastAsia="en-GB"/>
        </w:rPr>
        <w:drawing>
          <wp:inline distT="0" distB="0" distL="0" distR="0" wp14:anchorId="51A61285" wp14:editId="60354C76">
            <wp:extent cx="4356340" cy="2802255"/>
            <wp:effectExtent l="0" t="0" r="6350" b="1714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8B1EA8" w14:textId="77777777" w:rsidR="00871DE2" w:rsidRPr="004B3F3C" w:rsidRDefault="00871DE2" w:rsidP="004B3F3C">
      <w:pPr>
        <w:spacing w:line="360" w:lineRule="auto"/>
        <w:contextualSpacing/>
      </w:pPr>
    </w:p>
    <w:p w14:paraId="25240FCA" w14:textId="77777777" w:rsidR="00871DE2" w:rsidRPr="004B3F3C" w:rsidRDefault="00871DE2" w:rsidP="004B3F3C">
      <w:pPr>
        <w:spacing w:line="360" w:lineRule="auto"/>
        <w:contextualSpacing/>
        <w:rPr>
          <w:b/>
        </w:rPr>
      </w:pPr>
    </w:p>
    <w:p w14:paraId="3E38C682" w14:textId="77777777" w:rsidR="00F9058C" w:rsidRPr="004B3F3C" w:rsidRDefault="00F9058C" w:rsidP="004B3F3C">
      <w:pPr>
        <w:spacing w:line="360" w:lineRule="auto"/>
        <w:contextualSpacing/>
        <w:rPr>
          <w:b/>
          <w:bCs/>
        </w:rPr>
      </w:pPr>
    </w:p>
    <w:p w14:paraId="3A13C3AB" w14:textId="28591176" w:rsidR="00BC7F38" w:rsidRPr="004B3F3C" w:rsidRDefault="00215771" w:rsidP="004B3F3C">
      <w:pPr>
        <w:spacing w:line="360" w:lineRule="auto"/>
        <w:contextualSpacing/>
        <w:rPr>
          <w:b/>
        </w:rPr>
      </w:pPr>
      <w:r w:rsidRPr="004B3F3C">
        <w:rPr>
          <w:b/>
        </w:rPr>
        <w:t xml:space="preserve">References </w:t>
      </w:r>
    </w:p>
    <w:p w14:paraId="290D49FB" w14:textId="7FEE3F48" w:rsidR="00AB7E56" w:rsidRPr="004B3F3C" w:rsidRDefault="00BC7F38" w:rsidP="004B3F3C">
      <w:pPr>
        <w:pStyle w:val="EndNoteBibliography"/>
        <w:spacing w:line="360" w:lineRule="auto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</w:rPr>
        <w:fldChar w:fldCharType="begin"/>
      </w:r>
      <w:r w:rsidRPr="004B3F3C">
        <w:rPr>
          <w:rFonts w:asciiTheme="minorHAnsi" w:hAnsiTheme="minorHAnsi"/>
        </w:rPr>
        <w:instrText xml:space="preserve"> ADDIN EN.REFLIST </w:instrText>
      </w:r>
      <w:r w:rsidRPr="004B3F3C">
        <w:rPr>
          <w:rFonts w:asciiTheme="minorHAnsi" w:hAnsiTheme="minorHAnsi"/>
        </w:rPr>
        <w:fldChar w:fldCharType="separate"/>
      </w:r>
      <w:r w:rsidR="00AB7E56" w:rsidRPr="004B3F3C">
        <w:rPr>
          <w:rFonts w:asciiTheme="minorHAnsi" w:hAnsiTheme="minorHAnsi"/>
          <w:noProof/>
        </w:rPr>
        <w:t xml:space="preserve">Karina, F., et al. (2014). "Energy drink consumption and the relation to socio-demographic factors and health behaviour among young adults in Denmark. A population-based study." </w:t>
      </w:r>
      <w:r w:rsidR="00AB7E56" w:rsidRPr="004B3F3C">
        <w:rPr>
          <w:rFonts w:asciiTheme="minorHAnsi" w:hAnsiTheme="minorHAnsi"/>
          <w:noProof/>
          <w:u w:val="single"/>
        </w:rPr>
        <w:t>The European Journal of Public Health</w:t>
      </w:r>
      <w:r w:rsidR="00AB7E56" w:rsidRPr="004B3F3C">
        <w:rPr>
          <w:rFonts w:asciiTheme="minorHAnsi" w:hAnsiTheme="minorHAnsi"/>
          <w:noProof/>
        </w:rPr>
        <w:t xml:space="preserve"> </w:t>
      </w:r>
      <w:r w:rsidR="00AB7E56" w:rsidRPr="004B3F3C">
        <w:rPr>
          <w:rFonts w:asciiTheme="minorHAnsi" w:hAnsiTheme="minorHAnsi"/>
          <w:b/>
          <w:noProof/>
        </w:rPr>
        <w:t xml:space="preserve">DOI: </w:t>
      </w:r>
      <w:hyperlink r:id="rId20" w:history="1">
        <w:r w:rsidR="00AB7E56" w:rsidRPr="004B3F3C">
          <w:rPr>
            <w:rStyle w:val="Hyperlink"/>
            <w:rFonts w:asciiTheme="minorHAnsi" w:hAnsiTheme="minorHAnsi"/>
            <w:noProof/>
            <w:lang w:val="en-GB"/>
          </w:rPr>
          <w:t>http://dx.doi.org/10.1093/eurpub/cku003</w:t>
        </w:r>
      </w:hyperlink>
      <w:r w:rsidR="00AB7E56" w:rsidRPr="004B3F3C">
        <w:rPr>
          <w:rFonts w:asciiTheme="minorHAnsi" w:hAnsiTheme="minorHAnsi"/>
          <w:b/>
          <w:noProof/>
        </w:rPr>
        <w:t xml:space="preserve"> 840-844 First published online: 14 February 2014</w:t>
      </w:r>
      <w:r w:rsidR="00AB7E56" w:rsidRPr="004B3F3C">
        <w:rPr>
          <w:rFonts w:asciiTheme="minorHAnsi" w:hAnsiTheme="minorHAnsi"/>
          <w:noProof/>
        </w:rPr>
        <w:t>.</w:t>
      </w:r>
    </w:p>
    <w:p w14:paraId="774CD2CB" w14:textId="77777777" w:rsidR="00AB7E56" w:rsidRPr="004B3F3C" w:rsidRDefault="00AB7E56" w:rsidP="004B3F3C">
      <w:pPr>
        <w:pStyle w:val="EndNoteBibliography"/>
        <w:spacing w:after="0" w:line="360" w:lineRule="auto"/>
        <w:ind w:left="720" w:hanging="720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ab/>
      </w:r>
    </w:p>
    <w:p w14:paraId="7C1CFE0E" w14:textId="77777777" w:rsidR="00AB7E56" w:rsidRPr="004B3F3C" w:rsidRDefault="00AB7E56" w:rsidP="004B3F3C">
      <w:pPr>
        <w:pStyle w:val="EndNoteBibliography"/>
        <w:spacing w:line="360" w:lineRule="auto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 xml:space="preserve">Patrick, M. and J. Maggs (2014). "Energy Drinks and Alcohol: Links to Alcohol Behaviors and Consequences Across 56 Days." </w:t>
      </w:r>
      <w:r w:rsidRPr="004B3F3C">
        <w:rPr>
          <w:rFonts w:asciiTheme="minorHAnsi" w:hAnsiTheme="minorHAnsi"/>
          <w:noProof/>
          <w:u w:val="single"/>
        </w:rPr>
        <w:t>Journal of Adolescent Health</w:t>
      </w:r>
      <w:r w:rsidRPr="004B3F3C">
        <w:rPr>
          <w:rFonts w:asciiTheme="minorHAnsi" w:hAnsiTheme="minorHAnsi"/>
          <w:noProof/>
        </w:rPr>
        <w:t xml:space="preserve"> </w:t>
      </w:r>
      <w:r w:rsidRPr="004B3F3C">
        <w:rPr>
          <w:rFonts w:asciiTheme="minorHAnsi" w:hAnsiTheme="minorHAnsi"/>
          <w:b/>
          <w:noProof/>
        </w:rPr>
        <w:t>54</w:t>
      </w:r>
      <w:r w:rsidRPr="004B3F3C">
        <w:rPr>
          <w:rFonts w:asciiTheme="minorHAnsi" w:hAnsiTheme="minorHAnsi"/>
          <w:noProof/>
        </w:rPr>
        <w:t>(4): 454–459.</w:t>
      </w:r>
    </w:p>
    <w:p w14:paraId="09BE89C5" w14:textId="77777777" w:rsidR="00AB7E56" w:rsidRPr="004B3F3C" w:rsidRDefault="00AB7E56" w:rsidP="004B3F3C">
      <w:pPr>
        <w:pStyle w:val="EndNoteBibliography"/>
        <w:spacing w:after="0" w:line="360" w:lineRule="auto"/>
        <w:ind w:left="720" w:hanging="720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ab/>
      </w:r>
    </w:p>
    <w:p w14:paraId="36BF8918" w14:textId="77777777" w:rsidR="00AB7E56" w:rsidRPr="004B3F3C" w:rsidRDefault="00AB7E56" w:rsidP="004B3F3C">
      <w:pPr>
        <w:pStyle w:val="EndNoteBibliography"/>
        <w:spacing w:line="360" w:lineRule="auto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 xml:space="preserve">Seifert, S., et al. (2011). "Health Effects of Energy Drinks on Children, Adolescents, and Young Adults." </w:t>
      </w:r>
      <w:r w:rsidRPr="004B3F3C">
        <w:rPr>
          <w:rFonts w:asciiTheme="minorHAnsi" w:hAnsiTheme="minorHAnsi"/>
          <w:noProof/>
          <w:u w:val="single"/>
        </w:rPr>
        <w:t>Pediatrics</w:t>
      </w:r>
      <w:r w:rsidRPr="004B3F3C">
        <w:rPr>
          <w:rFonts w:asciiTheme="minorHAnsi" w:hAnsiTheme="minorHAnsi"/>
          <w:noProof/>
        </w:rPr>
        <w:t xml:space="preserve"> </w:t>
      </w:r>
      <w:r w:rsidRPr="004B3F3C">
        <w:rPr>
          <w:rFonts w:asciiTheme="minorHAnsi" w:hAnsiTheme="minorHAnsi"/>
          <w:b/>
          <w:noProof/>
        </w:rPr>
        <w:t>127</w:t>
      </w:r>
      <w:r w:rsidRPr="004B3F3C">
        <w:rPr>
          <w:rFonts w:asciiTheme="minorHAnsi" w:hAnsiTheme="minorHAnsi"/>
          <w:noProof/>
        </w:rPr>
        <w:t>(3): 511-528.</w:t>
      </w:r>
    </w:p>
    <w:p w14:paraId="7B3EE9C0" w14:textId="77777777" w:rsidR="00AB7E56" w:rsidRPr="004B3F3C" w:rsidRDefault="00AB7E56" w:rsidP="004B3F3C">
      <w:pPr>
        <w:pStyle w:val="EndNoteBibliography"/>
        <w:spacing w:after="0" w:line="360" w:lineRule="auto"/>
        <w:ind w:left="720" w:hanging="720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ab/>
      </w:r>
    </w:p>
    <w:p w14:paraId="083BFAB7" w14:textId="027B0DCE" w:rsidR="00AB7E56" w:rsidRPr="004B3F3C" w:rsidRDefault="00AB7E56" w:rsidP="004B3F3C">
      <w:pPr>
        <w:pStyle w:val="EndNoteBibliography"/>
        <w:spacing w:line="360" w:lineRule="auto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 xml:space="preserve">Sunday, A., et al. (2014). "An emerging adolescent health risk: Caffeinated energy drink consumption patterns among high school students." </w:t>
      </w:r>
      <w:r w:rsidRPr="004B3F3C">
        <w:rPr>
          <w:rFonts w:asciiTheme="minorHAnsi" w:hAnsiTheme="minorHAnsi"/>
          <w:noProof/>
          <w:u w:val="single"/>
        </w:rPr>
        <w:t>Preventive Medicine</w:t>
      </w:r>
      <w:r w:rsidRPr="004B3F3C">
        <w:rPr>
          <w:rFonts w:asciiTheme="minorHAnsi" w:hAnsiTheme="minorHAnsi"/>
          <w:noProof/>
        </w:rPr>
        <w:t xml:space="preserve"> </w:t>
      </w:r>
      <w:r w:rsidRPr="004B3F3C">
        <w:rPr>
          <w:rFonts w:asciiTheme="minorHAnsi" w:hAnsiTheme="minorHAnsi"/>
          <w:b/>
          <w:noProof/>
        </w:rPr>
        <w:t>62</w:t>
      </w:r>
      <w:r w:rsidRPr="004B3F3C">
        <w:rPr>
          <w:rFonts w:asciiTheme="minorHAnsi" w:hAnsiTheme="minorHAnsi"/>
          <w:noProof/>
        </w:rPr>
        <w:t>(May): 54-59.</w:t>
      </w:r>
    </w:p>
    <w:p w14:paraId="31A65A13" w14:textId="77777777" w:rsidR="00AB7E56" w:rsidRPr="004B3F3C" w:rsidRDefault="00AB7E56" w:rsidP="004B3F3C">
      <w:pPr>
        <w:pStyle w:val="EndNoteBibliography"/>
        <w:spacing w:after="0" w:line="360" w:lineRule="auto"/>
        <w:ind w:left="720" w:hanging="720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ab/>
      </w:r>
    </w:p>
    <w:p w14:paraId="19F5461B" w14:textId="45CD598C" w:rsidR="00AB7E56" w:rsidRPr="004B3F3C" w:rsidRDefault="00AB7E56" w:rsidP="004B3F3C">
      <w:pPr>
        <w:pStyle w:val="EndNoteBibliography"/>
        <w:spacing w:line="360" w:lineRule="auto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 xml:space="preserve">Velazquez, C., et al. (2012). "Associations between energy drink consumption and alcohol use behaviors among college students." </w:t>
      </w:r>
      <w:r w:rsidRPr="004B3F3C">
        <w:rPr>
          <w:rFonts w:asciiTheme="minorHAnsi" w:hAnsiTheme="minorHAnsi"/>
          <w:noProof/>
          <w:u w:val="single"/>
        </w:rPr>
        <w:t>Drug and Alcohol Dependence</w:t>
      </w:r>
      <w:r w:rsidRPr="004B3F3C">
        <w:rPr>
          <w:rFonts w:asciiTheme="minorHAnsi" w:hAnsiTheme="minorHAnsi"/>
          <w:noProof/>
        </w:rPr>
        <w:t xml:space="preserve"> </w:t>
      </w:r>
      <w:r w:rsidRPr="004B3F3C">
        <w:rPr>
          <w:rFonts w:asciiTheme="minorHAnsi" w:hAnsiTheme="minorHAnsi"/>
          <w:b/>
          <w:noProof/>
        </w:rPr>
        <w:t>123</w:t>
      </w:r>
      <w:r w:rsidRPr="004B3F3C">
        <w:rPr>
          <w:rFonts w:asciiTheme="minorHAnsi" w:hAnsiTheme="minorHAnsi"/>
          <w:noProof/>
        </w:rPr>
        <w:t>(1-3): 167-172.</w:t>
      </w:r>
    </w:p>
    <w:p w14:paraId="1E83C747" w14:textId="77777777" w:rsidR="00AB7E56" w:rsidRPr="004B3F3C" w:rsidRDefault="00AB7E56" w:rsidP="004B3F3C">
      <w:pPr>
        <w:pStyle w:val="EndNoteBibliography"/>
        <w:spacing w:line="360" w:lineRule="auto"/>
        <w:ind w:left="720" w:hanging="720"/>
        <w:contextualSpacing/>
        <w:rPr>
          <w:rFonts w:asciiTheme="minorHAnsi" w:hAnsiTheme="minorHAnsi"/>
          <w:noProof/>
        </w:rPr>
      </w:pPr>
      <w:r w:rsidRPr="004B3F3C">
        <w:rPr>
          <w:rFonts w:asciiTheme="minorHAnsi" w:hAnsiTheme="minorHAnsi"/>
          <w:noProof/>
        </w:rPr>
        <w:tab/>
      </w:r>
    </w:p>
    <w:p w14:paraId="47154B3C" w14:textId="70E351CC" w:rsidR="000D0846" w:rsidRPr="004B3F3C" w:rsidRDefault="00BC7F38" w:rsidP="004B3F3C">
      <w:pPr>
        <w:spacing w:line="360" w:lineRule="auto"/>
        <w:ind w:left="360"/>
        <w:contextualSpacing/>
      </w:pPr>
      <w:r w:rsidRPr="004B3F3C">
        <w:lastRenderedPageBreak/>
        <w:fldChar w:fldCharType="end"/>
      </w:r>
    </w:p>
    <w:sectPr w:rsidR="000D0846" w:rsidRPr="004B3F3C" w:rsidSect="00523341">
      <w:headerReference w:type="default" r:id="rId21"/>
      <w:footerReference w:type="even" r:id="rId22"/>
      <w:footerReference w:type="default" r:id="rId2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5F02" w14:textId="77777777" w:rsidR="004B0045" w:rsidRDefault="004B0045" w:rsidP="00D32E69">
      <w:pPr>
        <w:spacing w:after="0" w:line="240" w:lineRule="auto"/>
      </w:pPr>
      <w:r>
        <w:separator/>
      </w:r>
    </w:p>
  </w:endnote>
  <w:endnote w:type="continuationSeparator" w:id="0">
    <w:p w14:paraId="2E154544" w14:textId="77777777" w:rsidR="004B0045" w:rsidRDefault="004B0045" w:rsidP="00D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5485" w14:textId="77777777" w:rsidR="004B3F3C" w:rsidRDefault="004B3F3C" w:rsidP="009307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E415E" w14:textId="77777777" w:rsidR="004B3F3C" w:rsidRDefault="004B3F3C" w:rsidP="009307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5006" w14:textId="77777777" w:rsidR="004B3F3C" w:rsidRDefault="004B3F3C" w:rsidP="009307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17EEDB30" w14:textId="77777777" w:rsidR="004B3F3C" w:rsidRDefault="004B3F3C" w:rsidP="009307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7F17" w14:textId="77777777" w:rsidR="004B0045" w:rsidRDefault="004B0045" w:rsidP="00D32E69">
      <w:pPr>
        <w:spacing w:after="0" w:line="240" w:lineRule="auto"/>
      </w:pPr>
      <w:r>
        <w:separator/>
      </w:r>
    </w:p>
  </w:footnote>
  <w:footnote w:type="continuationSeparator" w:id="0">
    <w:p w14:paraId="43753F11" w14:textId="77777777" w:rsidR="004B0045" w:rsidRDefault="004B0045" w:rsidP="00D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8719" w14:textId="34F74FD3" w:rsidR="004B3F3C" w:rsidRDefault="004B3F3C">
    <w:pPr>
      <w:pStyle w:val="Header"/>
    </w:pPr>
  </w:p>
  <w:p w14:paraId="23E18D12" w14:textId="77777777" w:rsidR="004B3F3C" w:rsidRDefault="004B3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6873CB"/>
    <w:multiLevelType w:val="hybridMultilevel"/>
    <w:tmpl w:val="0518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E469A"/>
    <w:multiLevelType w:val="hybridMultilevel"/>
    <w:tmpl w:val="3F1A2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38D"/>
    <w:multiLevelType w:val="hybridMultilevel"/>
    <w:tmpl w:val="19A88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2A44"/>
    <w:multiLevelType w:val="hybridMultilevel"/>
    <w:tmpl w:val="5C0493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0077"/>
    <w:multiLevelType w:val="hybridMultilevel"/>
    <w:tmpl w:val="A9801074"/>
    <w:lvl w:ilvl="0" w:tplc="2AD48A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0319"/>
    <w:multiLevelType w:val="hybridMultilevel"/>
    <w:tmpl w:val="DC984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24F"/>
    <w:multiLevelType w:val="hybridMultilevel"/>
    <w:tmpl w:val="8464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77F29"/>
    <w:multiLevelType w:val="hybridMultilevel"/>
    <w:tmpl w:val="47BA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dprvffxr0024eawex5sw9irarrszt9vz09&quot;&gt;Leap2-Converted&lt;record-ids&gt;&lt;item&gt;440&lt;/item&gt;&lt;item&gt;441&lt;/item&gt;&lt;item&gt;442&lt;/item&gt;&lt;item&gt;443&lt;/item&gt;&lt;item&gt;445&lt;/item&gt;&lt;/record-ids&gt;&lt;/item&gt;&lt;/Libraries&gt;"/>
  </w:docVars>
  <w:rsids>
    <w:rsidRoot w:val="00BC209E"/>
    <w:rsid w:val="00022526"/>
    <w:rsid w:val="00023888"/>
    <w:rsid w:val="00024EEB"/>
    <w:rsid w:val="00027261"/>
    <w:rsid w:val="000346AA"/>
    <w:rsid w:val="00034F7E"/>
    <w:rsid w:val="00045737"/>
    <w:rsid w:val="00047C25"/>
    <w:rsid w:val="0006431C"/>
    <w:rsid w:val="00071C19"/>
    <w:rsid w:val="000A51E7"/>
    <w:rsid w:val="000C1284"/>
    <w:rsid w:val="000D0846"/>
    <w:rsid w:val="000F2ABB"/>
    <w:rsid w:val="00102429"/>
    <w:rsid w:val="001025AA"/>
    <w:rsid w:val="001116DE"/>
    <w:rsid w:val="00121D27"/>
    <w:rsid w:val="0013472B"/>
    <w:rsid w:val="00136898"/>
    <w:rsid w:val="00147327"/>
    <w:rsid w:val="0015318F"/>
    <w:rsid w:val="00167104"/>
    <w:rsid w:val="001700CA"/>
    <w:rsid w:val="00183745"/>
    <w:rsid w:val="00190345"/>
    <w:rsid w:val="00190BA2"/>
    <w:rsid w:val="001A6CED"/>
    <w:rsid w:val="001C4BA5"/>
    <w:rsid w:val="001C5530"/>
    <w:rsid w:val="001D0CB8"/>
    <w:rsid w:val="001D3C47"/>
    <w:rsid w:val="001D55D9"/>
    <w:rsid w:val="001E12CC"/>
    <w:rsid w:val="001F67A5"/>
    <w:rsid w:val="00200C51"/>
    <w:rsid w:val="002108AE"/>
    <w:rsid w:val="00215771"/>
    <w:rsid w:val="0021585F"/>
    <w:rsid w:val="00254B10"/>
    <w:rsid w:val="00273434"/>
    <w:rsid w:val="002A4F0B"/>
    <w:rsid w:val="002A5AE6"/>
    <w:rsid w:val="002D4928"/>
    <w:rsid w:val="002E532A"/>
    <w:rsid w:val="00300704"/>
    <w:rsid w:val="00305429"/>
    <w:rsid w:val="003111B0"/>
    <w:rsid w:val="003260D2"/>
    <w:rsid w:val="003606AE"/>
    <w:rsid w:val="003679CC"/>
    <w:rsid w:val="00373471"/>
    <w:rsid w:val="0039335D"/>
    <w:rsid w:val="003A35C6"/>
    <w:rsid w:val="003A4126"/>
    <w:rsid w:val="003C66F9"/>
    <w:rsid w:val="003D3C05"/>
    <w:rsid w:val="003F7C5B"/>
    <w:rsid w:val="004162C4"/>
    <w:rsid w:val="00421D18"/>
    <w:rsid w:val="00425B9E"/>
    <w:rsid w:val="004310B9"/>
    <w:rsid w:val="00431FD2"/>
    <w:rsid w:val="00442326"/>
    <w:rsid w:val="0046370B"/>
    <w:rsid w:val="00470D5F"/>
    <w:rsid w:val="00486B5D"/>
    <w:rsid w:val="004B0045"/>
    <w:rsid w:val="004B3F3C"/>
    <w:rsid w:val="004B68A3"/>
    <w:rsid w:val="004C1412"/>
    <w:rsid w:val="004C2F3B"/>
    <w:rsid w:val="004C762D"/>
    <w:rsid w:val="004E0879"/>
    <w:rsid w:val="004E5884"/>
    <w:rsid w:val="00504851"/>
    <w:rsid w:val="00510899"/>
    <w:rsid w:val="00523341"/>
    <w:rsid w:val="00532426"/>
    <w:rsid w:val="00535407"/>
    <w:rsid w:val="00545C4B"/>
    <w:rsid w:val="005602AA"/>
    <w:rsid w:val="00562DC8"/>
    <w:rsid w:val="00572C8B"/>
    <w:rsid w:val="005743B1"/>
    <w:rsid w:val="00574ACE"/>
    <w:rsid w:val="005768E0"/>
    <w:rsid w:val="005808F4"/>
    <w:rsid w:val="0059149A"/>
    <w:rsid w:val="005962C4"/>
    <w:rsid w:val="00597171"/>
    <w:rsid w:val="005D2B62"/>
    <w:rsid w:val="005D5EB7"/>
    <w:rsid w:val="005E48CA"/>
    <w:rsid w:val="005F065A"/>
    <w:rsid w:val="005F2D21"/>
    <w:rsid w:val="005F65D2"/>
    <w:rsid w:val="00601781"/>
    <w:rsid w:val="0061687F"/>
    <w:rsid w:val="006276BE"/>
    <w:rsid w:val="0063189D"/>
    <w:rsid w:val="00636C28"/>
    <w:rsid w:val="006453F6"/>
    <w:rsid w:val="006657F8"/>
    <w:rsid w:val="00671E40"/>
    <w:rsid w:val="00677126"/>
    <w:rsid w:val="006929EC"/>
    <w:rsid w:val="006B326B"/>
    <w:rsid w:val="006B60FB"/>
    <w:rsid w:val="006C1AF4"/>
    <w:rsid w:val="006D3B8E"/>
    <w:rsid w:val="006E78B0"/>
    <w:rsid w:val="00701B70"/>
    <w:rsid w:val="00702E96"/>
    <w:rsid w:val="00720026"/>
    <w:rsid w:val="007241EB"/>
    <w:rsid w:val="00742B79"/>
    <w:rsid w:val="00763277"/>
    <w:rsid w:val="00781755"/>
    <w:rsid w:val="00794A6B"/>
    <w:rsid w:val="007B3842"/>
    <w:rsid w:val="007C25C3"/>
    <w:rsid w:val="007D2313"/>
    <w:rsid w:val="00802810"/>
    <w:rsid w:val="00803F25"/>
    <w:rsid w:val="008126A3"/>
    <w:rsid w:val="00831834"/>
    <w:rsid w:val="008335A9"/>
    <w:rsid w:val="00837D99"/>
    <w:rsid w:val="0084096B"/>
    <w:rsid w:val="0084108C"/>
    <w:rsid w:val="00844E31"/>
    <w:rsid w:val="00850046"/>
    <w:rsid w:val="00851F1A"/>
    <w:rsid w:val="00871DE2"/>
    <w:rsid w:val="00872A40"/>
    <w:rsid w:val="008772D0"/>
    <w:rsid w:val="00886273"/>
    <w:rsid w:val="00887858"/>
    <w:rsid w:val="008A3E09"/>
    <w:rsid w:val="008A5F50"/>
    <w:rsid w:val="008C00B8"/>
    <w:rsid w:val="008C2A63"/>
    <w:rsid w:val="008E3153"/>
    <w:rsid w:val="008E388A"/>
    <w:rsid w:val="00900F39"/>
    <w:rsid w:val="00913B2F"/>
    <w:rsid w:val="00917F65"/>
    <w:rsid w:val="00920C55"/>
    <w:rsid w:val="009221A2"/>
    <w:rsid w:val="0092712A"/>
    <w:rsid w:val="00930726"/>
    <w:rsid w:val="00932275"/>
    <w:rsid w:val="00947271"/>
    <w:rsid w:val="00955A1A"/>
    <w:rsid w:val="00966977"/>
    <w:rsid w:val="009716F8"/>
    <w:rsid w:val="009C7E28"/>
    <w:rsid w:val="009E03F0"/>
    <w:rsid w:val="009E4FAD"/>
    <w:rsid w:val="00A101EF"/>
    <w:rsid w:val="00A12CF6"/>
    <w:rsid w:val="00A41C39"/>
    <w:rsid w:val="00A47A18"/>
    <w:rsid w:val="00A52265"/>
    <w:rsid w:val="00A52F61"/>
    <w:rsid w:val="00A550F9"/>
    <w:rsid w:val="00A55BBC"/>
    <w:rsid w:val="00A56945"/>
    <w:rsid w:val="00A5757D"/>
    <w:rsid w:val="00A6525C"/>
    <w:rsid w:val="00A73BAC"/>
    <w:rsid w:val="00A749DC"/>
    <w:rsid w:val="00A77D6A"/>
    <w:rsid w:val="00A9460C"/>
    <w:rsid w:val="00A969B4"/>
    <w:rsid w:val="00AA3DF9"/>
    <w:rsid w:val="00AA7056"/>
    <w:rsid w:val="00AB7E56"/>
    <w:rsid w:val="00AC3DDB"/>
    <w:rsid w:val="00AE0553"/>
    <w:rsid w:val="00AE197A"/>
    <w:rsid w:val="00B01A78"/>
    <w:rsid w:val="00B1094F"/>
    <w:rsid w:val="00B17147"/>
    <w:rsid w:val="00B21D17"/>
    <w:rsid w:val="00B43132"/>
    <w:rsid w:val="00B52D35"/>
    <w:rsid w:val="00B56E2B"/>
    <w:rsid w:val="00B76BD4"/>
    <w:rsid w:val="00BB5A09"/>
    <w:rsid w:val="00BC209E"/>
    <w:rsid w:val="00BC4E09"/>
    <w:rsid w:val="00BC7F38"/>
    <w:rsid w:val="00BD1F83"/>
    <w:rsid w:val="00BD22AA"/>
    <w:rsid w:val="00BD4335"/>
    <w:rsid w:val="00BD5EC2"/>
    <w:rsid w:val="00BF3E5C"/>
    <w:rsid w:val="00C27AC6"/>
    <w:rsid w:val="00C3350C"/>
    <w:rsid w:val="00C4128D"/>
    <w:rsid w:val="00C43BE7"/>
    <w:rsid w:val="00C50A9E"/>
    <w:rsid w:val="00C641EB"/>
    <w:rsid w:val="00C64E94"/>
    <w:rsid w:val="00C66226"/>
    <w:rsid w:val="00C70ACC"/>
    <w:rsid w:val="00C71544"/>
    <w:rsid w:val="00C721A2"/>
    <w:rsid w:val="00C7519B"/>
    <w:rsid w:val="00C8196F"/>
    <w:rsid w:val="00C979C7"/>
    <w:rsid w:val="00CA4067"/>
    <w:rsid w:val="00CA5CDF"/>
    <w:rsid w:val="00CF1122"/>
    <w:rsid w:val="00CF2005"/>
    <w:rsid w:val="00CF3C93"/>
    <w:rsid w:val="00CF72F3"/>
    <w:rsid w:val="00CF736A"/>
    <w:rsid w:val="00D0426A"/>
    <w:rsid w:val="00D073DD"/>
    <w:rsid w:val="00D115C6"/>
    <w:rsid w:val="00D23F7A"/>
    <w:rsid w:val="00D312D4"/>
    <w:rsid w:val="00D32E69"/>
    <w:rsid w:val="00D407D8"/>
    <w:rsid w:val="00D47D31"/>
    <w:rsid w:val="00D53F44"/>
    <w:rsid w:val="00D618AE"/>
    <w:rsid w:val="00D71650"/>
    <w:rsid w:val="00D717D1"/>
    <w:rsid w:val="00D720D9"/>
    <w:rsid w:val="00D808D9"/>
    <w:rsid w:val="00D9534C"/>
    <w:rsid w:val="00DC7A08"/>
    <w:rsid w:val="00DD3095"/>
    <w:rsid w:val="00DE1047"/>
    <w:rsid w:val="00DE29B4"/>
    <w:rsid w:val="00E16005"/>
    <w:rsid w:val="00E228D3"/>
    <w:rsid w:val="00E2734D"/>
    <w:rsid w:val="00E3294B"/>
    <w:rsid w:val="00E37013"/>
    <w:rsid w:val="00E37D75"/>
    <w:rsid w:val="00E42C08"/>
    <w:rsid w:val="00E81AB0"/>
    <w:rsid w:val="00E85D7B"/>
    <w:rsid w:val="00E937C4"/>
    <w:rsid w:val="00EC02E1"/>
    <w:rsid w:val="00EC7302"/>
    <w:rsid w:val="00ED5788"/>
    <w:rsid w:val="00EF32DC"/>
    <w:rsid w:val="00F025EE"/>
    <w:rsid w:val="00F034D3"/>
    <w:rsid w:val="00F27B45"/>
    <w:rsid w:val="00F3631A"/>
    <w:rsid w:val="00F530DF"/>
    <w:rsid w:val="00F55B9B"/>
    <w:rsid w:val="00F57285"/>
    <w:rsid w:val="00F73926"/>
    <w:rsid w:val="00F73D0C"/>
    <w:rsid w:val="00F762F7"/>
    <w:rsid w:val="00F77F2D"/>
    <w:rsid w:val="00F81330"/>
    <w:rsid w:val="00F872B2"/>
    <w:rsid w:val="00F872C4"/>
    <w:rsid w:val="00F9058C"/>
    <w:rsid w:val="00F97B27"/>
    <w:rsid w:val="00FA2AD4"/>
    <w:rsid w:val="00FB45E3"/>
    <w:rsid w:val="00FD4305"/>
    <w:rsid w:val="00FD592C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A4E88"/>
  <w15:docId w15:val="{C8C4DA87-92FE-4AC7-BF08-D38AC9DF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69"/>
  </w:style>
  <w:style w:type="paragraph" w:styleId="Footer">
    <w:name w:val="footer"/>
    <w:basedOn w:val="Normal"/>
    <w:link w:val="FooterChar"/>
    <w:uiPriority w:val="99"/>
    <w:unhideWhenUsed/>
    <w:rsid w:val="00D3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69"/>
  </w:style>
  <w:style w:type="character" w:styleId="PageNumber">
    <w:name w:val="page number"/>
    <w:basedOn w:val="DefaultParagraphFont"/>
    <w:uiPriority w:val="99"/>
    <w:semiHidden/>
    <w:unhideWhenUsed/>
    <w:rsid w:val="00930726"/>
  </w:style>
  <w:style w:type="paragraph" w:customStyle="1" w:styleId="EndNoteBibliographyTitle">
    <w:name w:val="EndNote Bibliography Title"/>
    <w:basedOn w:val="Normal"/>
    <w:rsid w:val="00BC7F38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BC7F38"/>
    <w:pPr>
      <w:spacing w:line="240" w:lineRule="auto"/>
    </w:pPr>
    <w:rPr>
      <w:rFonts w:ascii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1903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1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4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4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4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4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42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81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27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Brooks@uts.edu.a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dx.doi.org/10.1093/eurpub/cku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e.1.klemera@herts.ac.uk" TargetMode="External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Chart%203%20in%20Microsoft%20Word" TargetMode="External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GB" sz="1400">
              <a:latin typeface="+mj-lt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GB" sz="1400">
              <a:latin typeface="+mj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Sheet1!$A$17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3140306280613E-4"/>
                  <c:y val="0.297573855899592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EA-4CE2-97AD-177705B4ECF8}"/>
                </c:ext>
              </c:extLst>
            </c:dLbl>
            <c:dLbl>
              <c:idx val="1"/>
              <c:layout>
                <c:manualLayout>
                  <c:x val="-2.93095252857168E-3"/>
                  <c:y val="0.292665258947895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EA-4CE2-97AD-177705B4ECF8}"/>
                </c:ext>
              </c:extLst>
            </c:dLbl>
            <c:dLbl>
              <c:idx val="2"/>
              <c:layout>
                <c:manualLayout>
                  <c:x val="-2.6246719160105E-3"/>
                  <c:y val="0.30164282096316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EA-4CE2-97AD-177705B4ECF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Sheet1!$B$16:$D$16</c:f>
              <c:strCache>
                <c:ptCount val="3"/>
                <c:pt idx="0">
                  <c:v>11 years</c:v>
                </c:pt>
                <c:pt idx="1">
                  <c:v>13 years</c:v>
                </c:pt>
                <c:pt idx="2">
                  <c:v>15 years</c:v>
                </c:pt>
              </c:strCache>
            </c:strRef>
          </c:cat>
          <c:val>
            <c:numRef>
              <c:f>Sheet1!$B$17:$D$17</c:f>
              <c:numCache>
                <c:formatCode>General</c:formatCode>
                <c:ptCount val="3"/>
                <c:pt idx="0">
                  <c:v>91</c:v>
                </c:pt>
                <c:pt idx="1">
                  <c:v>87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EA-4CE2-97AD-177705B4ECF8}"/>
            </c:ext>
          </c:extLst>
        </c:ser>
        <c:ser>
          <c:idx val="1"/>
          <c:order val="1"/>
          <c:tx>
            <c:strRef>
              <c:f>Sheet1!$A$18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778122222911102E-3"/>
                  <c:y val="0.295968267124504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EA-4CE2-97AD-177705B4ECF8}"/>
                </c:ext>
              </c:extLst>
            </c:dLbl>
            <c:dLbl>
              <c:idx val="1"/>
              <c:layout>
                <c:manualLayout>
                  <c:x val="-5.2493438320209999E-3"/>
                  <c:y val="0.29628401712943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EA-4CE2-97AD-177705B4ECF8}"/>
                </c:ext>
              </c:extLst>
            </c:dLbl>
            <c:dLbl>
              <c:idx val="2"/>
              <c:layout>
                <c:manualLayout>
                  <c:x val="-2.9309525285717199E-3"/>
                  <c:y val="0.298020115906564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EA-4CE2-97AD-177705B4ECF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Sheet1!$B$16:$D$16</c:f>
              <c:strCache>
                <c:ptCount val="3"/>
                <c:pt idx="0">
                  <c:v>11 years</c:v>
                </c:pt>
                <c:pt idx="1">
                  <c:v>13 years</c:v>
                </c:pt>
                <c:pt idx="2">
                  <c:v>15 years</c:v>
                </c:pt>
              </c:strCache>
            </c:strRef>
          </c:cat>
          <c:val>
            <c:numRef>
              <c:f>Sheet1!$B$18:$D$18</c:f>
              <c:numCache>
                <c:formatCode>General</c:formatCode>
                <c:ptCount val="3"/>
                <c:pt idx="0">
                  <c:v>90</c:v>
                </c:pt>
                <c:pt idx="1">
                  <c:v>80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EA-4CE2-97AD-177705B4E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938048"/>
        <c:axId val="330938832"/>
      </c:barChart>
      <c:catAx>
        <c:axId val="330938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>
                    <a:latin typeface="+mj-lt"/>
                  </a:rPr>
                  <a:t>Base:</a:t>
                </a:r>
                <a:r>
                  <a:rPr lang="en-GB" i="1" baseline="0">
                    <a:latin typeface="+mj-lt"/>
                  </a:rPr>
                  <a:t> All r</a:t>
                </a:r>
                <a:r>
                  <a:rPr lang="en-GB" i="1">
                    <a:latin typeface="+mj-lt"/>
                  </a:rPr>
                  <a:t>espondents in 2014                '</a:t>
                </a:r>
                <a:r>
                  <a:rPr lang="en-GB" i="1" baseline="0">
                    <a:latin typeface="+mj-lt"/>
                  </a:rPr>
                  <a:t> </a:t>
                </a:r>
                <a:endParaRPr lang="en-GB" i="1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4.1689873511573765E-2"/>
              <c:y val="0.9001608220723074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330938832"/>
        <c:crosses val="autoZero"/>
        <c:auto val="1"/>
        <c:lblAlgn val="ctr"/>
        <c:lblOffset val="100"/>
        <c:noMultiLvlLbl val="0"/>
      </c:catAx>
      <c:valAx>
        <c:axId val="330938832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30938048"/>
        <c:crosses val="autoZero"/>
        <c:crossBetween val="between"/>
        <c:majorUnit val="10"/>
        <c:minorUnit val="10"/>
        <c:dispUnits>
          <c:builtInUnit val="hundreds"/>
        </c:dispUnits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3 in Microsoft Word]Sheet1'!$A$92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330160888284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59-4CD5-8B54-39F5D72DFEE2}"/>
                </c:ext>
              </c:extLst>
            </c:dLbl>
            <c:dLbl>
              <c:idx val="1"/>
              <c:layout>
                <c:manualLayout>
                  <c:x val="-5.0505050505051429E-3"/>
                  <c:y val="0.10423748017221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59-4CD5-8B54-39F5D72DFEE2}"/>
                </c:ext>
              </c:extLst>
            </c:dLbl>
            <c:dLbl>
              <c:idx val="2"/>
              <c:layout>
                <c:manualLayout>
                  <c:x val="0"/>
                  <c:y val="0.14955812372535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59-4CD5-8B54-39F5D72DFEE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3 in Microsoft Word]Sheet1'!$B$91:$D$91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15</c:v>
                </c:pt>
              </c:numCache>
            </c:numRef>
          </c:cat>
          <c:val>
            <c:numRef>
              <c:f>'[Chart 3 in Microsoft Word]Sheet1'!$B$92:$D$92</c:f>
              <c:numCache>
                <c:formatCode>General</c:formatCode>
                <c:ptCount val="3"/>
                <c:pt idx="0">
                  <c:v>19</c:v>
                </c:pt>
                <c:pt idx="1">
                  <c:v>29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79-4821-9CFF-546582306FC8}"/>
            </c:ext>
          </c:extLst>
        </c:ser>
        <c:ser>
          <c:idx val="1"/>
          <c:order val="1"/>
          <c:tx>
            <c:strRef>
              <c:f>'[Chart 3 in Microsoft Word]Sheet1'!$A$93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0641287106276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59-4CD5-8B54-39F5D72DFEE2}"/>
                </c:ext>
              </c:extLst>
            </c:dLbl>
            <c:dLbl>
              <c:idx val="1"/>
              <c:layout>
                <c:manualLayout>
                  <c:x val="2.5252525252525255E-3"/>
                  <c:y val="9.9705415816904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59-4CD5-8B54-39F5D72DFEE2}"/>
                </c:ext>
              </c:extLst>
            </c:dLbl>
            <c:dLbl>
              <c:idx val="2"/>
              <c:layout>
                <c:manualLayout>
                  <c:x val="2.5252525252525255E-3"/>
                  <c:y val="0.10423748017221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59-4CD5-8B54-39F5D72DFEE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3 in Microsoft Word]Sheet1'!$B$91:$D$91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15</c:v>
                </c:pt>
              </c:numCache>
            </c:numRef>
          </c:cat>
          <c:val>
            <c:numRef>
              <c:f>'[Chart 3 in Microsoft Word]Sheet1'!$B$93:$D$93</c:f>
              <c:numCache>
                <c:formatCode>General</c:formatCode>
                <c:ptCount val="3"/>
                <c:pt idx="0">
                  <c:v>21</c:v>
                </c:pt>
                <c:pt idx="1">
                  <c:v>41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79-4821-9CFF-546582306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889912"/>
        <c:axId val="329890304"/>
      </c:barChart>
      <c:catAx>
        <c:axId val="329889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/>
                  <a:t>Base:</a:t>
                </a:r>
                <a:r>
                  <a:rPr lang="en-GB" i="1" baseline="0"/>
                  <a:t> all respondents in 2014</a:t>
                </a:r>
                <a:endParaRPr lang="en-GB" i="1"/>
              </a:p>
            </c:rich>
          </c:tx>
          <c:layout>
            <c:manualLayout>
              <c:xMode val="edge"/>
              <c:yMode val="edge"/>
              <c:x val="4.8631591505607225E-2"/>
              <c:y val="0.876705010785956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9890304"/>
        <c:crosses val="autoZero"/>
        <c:auto val="1"/>
        <c:lblAlgn val="ctr"/>
        <c:lblOffset val="100"/>
        <c:noMultiLvlLbl val="0"/>
      </c:catAx>
      <c:valAx>
        <c:axId val="32989030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29889912"/>
        <c:crosses val="autoZero"/>
        <c:crossBetween val="between"/>
        <c:dispUnits>
          <c:builtInUnit val="hundreds"/>
        </c:dispUnits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GB" sz="1400">
              <a:latin typeface="+mj-lt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GB" sz="1400">
              <a:latin typeface="+mj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Sheet1!$A$17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3140306280613E-4"/>
                  <c:y val="0.297573855899592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86-4F72-8D73-BA9D76C31440}"/>
                </c:ext>
              </c:extLst>
            </c:dLbl>
            <c:dLbl>
              <c:idx val="1"/>
              <c:layout>
                <c:manualLayout>
                  <c:x val="-2.93095252857168E-3"/>
                  <c:y val="0.292665258947895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86-4F72-8D73-BA9D76C31440}"/>
                </c:ext>
              </c:extLst>
            </c:dLbl>
            <c:dLbl>
              <c:idx val="2"/>
              <c:layout>
                <c:manualLayout>
                  <c:x val="-2.6246719160105E-3"/>
                  <c:y val="0.30164282096316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86-4F72-8D73-BA9D76C31440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Sheet1!$B$16:$D$16</c:f>
              <c:strCache>
                <c:ptCount val="3"/>
                <c:pt idx="0">
                  <c:v>11 years</c:v>
                </c:pt>
                <c:pt idx="1">
                  <c:v>13 years</c:v>
                </c:pt>
                <c:pt idx="2">
                  <c:v>15 years</c:v>
                </c:pt>
              </c:strCache>
            </c:strRef>
          </c:cat>
          <c:val>
            <c:numRef>
              <c:f>Sheet1!$B$17:$D$17</c:f>
              <c:numCache>
                <c:formatCode>General</c:formatCode>
                <c:ptCount val="3"/>
                <c:pt idx="0">
                  <c:v>91</c:v>
                </c:pt>
                <c:pt idx="1">
                  <c:v>87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86-4F72-8D73-BA9D76C31440}"/>
            </c:ext>
          </c:extLst>
        </c:ser>
        <c:ser>
          <c:idx val="1"/>
          <c:order val="1"/>
          <c:tx>
            <c:strRef>
              <c:f>Sheet1!$A$18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778122222911102E-3"/>
                  <c:y val="0.295968267124504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86-4F72-8D73-BA9D76C31440}"/>
                </c:ext>
              </c:extLst>
            </c:dLbl>
            <c:dLbl>
              <c:idx val="1"/>
              <c:layout>
                <c:manualLayout>
                  <c:x val="-5.2493438320209999E-3"/>
                  <c:y val="0.29628401712943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86-4F72-8D73-BA9D76C31440}"/>
                </c:ext>
              </c:extLst>
            </c:dLbl>
            <c:dLbl>
              <c:idx val="2"/>
              <c:layout>
                <c:manualLayout>
                  <c:x val="-2.9309525285717199E-3"/>
                  <c:y val="0.298020115906564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86-4F72-8D73-BA9D76C31440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Sheet1!$B$16:$D$16</c:f>
              <c:strCache>
                <c:ptCount val="3"/>
                <c:pt idx="0">
                  <c:v>11 years</c:v>
                </c:pt>
                <c:pt idx="1">
                  <c:v>13 years</c:v>
                </c:pt>
                <c:pt idx="2">
                  <c:v>15 years</c:v>
                </c:pt>
              </c:strCache>
            </c:strRef>
          </c:cat>
          <c:val>
            <c:numRef>
              <c:f>Sheet1!$B$18:$D$18</c:f>
              <c:numCache>
                <c:formatCode>General</c:formatCode>
                <c:ptCount val="3"/>
                <c:pt idx="0">
                  <c:v>90</c:v>
                </c:pt>
                <c:pt idx="1">
                  <c:v>80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486-4F72-8D73-BA9D76C31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938048"/>
        <c:axId val="330938832"/>
      </c:barChart>
      <c:catAx>
        <c:axId val="330938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>
                    <a:latin typeface="+mj-lt"/>
                  </a:rPr>
                  <a:t>Base:</a:t>
                </a:r>
                <a:r>
                  <a:rPr lang="en-GB" i="1" baseline="0">
                    <a:latin typeface="+mj-lt"/>
                  </a:rPr>
                  <a:t> All r</a:t>
                </a:r>
                <a:r>
                  <a:rPr lang="en-GB" i="1">
                    <a:latin typeface="+mj-lt"/>
                  </a:rPr>
                  <a:t>espondents in 2014                '</a:t>
                </a:r>
                <a:r>
                  <a:rPr lang="en-GB" i="1" baseline="0">
                    <a:latin typeface="+mj-lt"/>
                  </a:rPr>
                  <a:t> </a:t>
                </a:r>
                <a:endParaRPr lang="en-GB" i="1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6.9310714691736983E-2"/>
              <c:y val="0.9036975152641728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330938832"/>
        <c:crosses val="autoZero"/>
        <c:auto val="1"/>
        <c:lblAlgn val="ctr"/>
        <c:lblOffset val="100"/>
        <c:noMultiLvlLbl val="0"/>
      </c:catAx>
      <c:valAx>
        <c:axId val="330938832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30938048"/>
        <c:crosses val="autoZero"/>
        <c:crossBetween val="between"/>
        <c:majorUnit val="10"/>
        <c:minorUnit val="10"/>
        <c:dispUnits>
          <c:builtInUnit val="hundreds"/>
        </c:dispUnits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Sheet1!$A$105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439155557532701E-3"/>
                  <c:y val="0.126315789473683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A8-4F84-BDF6-3686EC6B9EE7}"/>
                </c:ext>
              </c:extLst>
            </c:dLbl>
            <c:dLbl>
              <c:idx val="1"/>
              <c:layout>
                <c:manualLayout>
                  <c:x val="5.2122680469137202E-3"/>
                  <c:y val="0.110963210604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A8-4F84-BDF6-3686EC6B9EE7}"/>
                </c:ext>
              </c:extLst>
            </c:dLbl>
            <c:dLbl>
              <c:idx val="2"/>
              <c:layout>
                <c:manualLayout>
                  <c:x val="5.2886891963363396E-3"/>
                  <c:y val="0.136566652852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A8-4F84-BDF6-3686EC6B9EE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Sheet1!$B$104:$D$104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Sheet1!$B$105:$D$105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A8-4F84-BDF6-3686EC6B9EE7}"/>
            </c:ext>
          </c:extLst>
        </c:ser>
        <c:ser>
          <c:idx val="1"/>
          <c:order val="1"/>
          <c:tx>
            <c:strRef>
              <c:f>Sheet1!$A$106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7996747581693497E-3"/>
                  <c:y val="0.121489432242021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A8-4F84-BDF6-3686EC6B9EE7}"/>
                </c:ext>
              </c:extLst>
            </c:dLbl>
            <c:dLbl>
              <c:idx val="1"/>
              <c:layout>
                <c:manualLayout>
                  <c:x val="6.54626213681332E-3"/>
                  <c:y val="0.206634408129151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A8-4F84-BDF6-3686EC6B9EE7}"/>
                </c:ext>
              </c:extLst>
            </c:dLbl>
            <c:dLbl>
              <c:idx val="2"/>
              <c:layout>
                <c:manualLayout>
                  <c:x val="8.0015421801088395E-4"/>
                  <c:y val="0.28629423953584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A8-4F84-BDF6-3686EC6B9EE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Sheet1!$B$104:$D$104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Sheet1!$B$106:$D$106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FA8-4F84-BDF6-3686EC6B9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6319112"/>
        <c:axId val="376316368"/>
      </c:barChart>
      <c:catAx>
        <c:axId val="376319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>
                    <a:latin typeface="+mj-lt"/>
                  </a:rPr>
                  <a:t>Base:</a:t>
                </a:r>
                <a:r>
                  <a:rPr lang="en-GB" i="1" baseline="0">
                    <a:latin typeface="+mj-lt"/>
                  </a:rPr>
                  <a:t> All respondents in 2014 </a:t>
                </a:r>
                <a:endParaRPr lang="en-GB" i="1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1.7498999065794701E-2"/>
              <c:y val="0.930142561127227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6316368"/>
        <c:crosses val="autoZero"/>
        <c:auto val="1"/>
        <c:lblAlgn val="ctr"/>
        <c:lblOffset val="100"/>
        <c:noMultiLvlLbl val="0"/>
      </c:catAx>
      <c:valAx>
        <c:axId val="37631636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76319112"/>
        <c:crosses val="autoZero"/>
        <c:crossBetween val="between"/>
        <c:dispUnits>
          <c:builtInUnit val="hundreds"/>
        </c:dispUnits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Word]Sheet1'!$A$43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3238289205702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49-46EC-910A-3A4D7D132437}"/>
                </c:ext>
              </c:extLst>
            </c:dLbl>
            <c:dLbl>
              <c:idx val="1"/>
              <c:layout>
                <c:manualLayout>
                  <c:x val="0"/>
                  <c:y val="9.6741344195519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49-46EC-910A-3A4D7D132437}"/>
                </c:ext>
              </c:extLst>
            </c:dLbl>
            <c:dLbl>
              <c:idx val="2"/>
              <c:layout>
                <c:manualLayout>
                  <c:x val="-4.7281323877068557E-3"/>
                  <c:y val="0.15274949083503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49-46EC-910A-3A4D7D13243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2 in Microsoft Word]Sheet1'!$B$42:$D$42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15</c:v>
                </c:pt>
              </c:numCache>
            </c:numRef>
          </c:cat>
          <c:val>
            <c:numRef>
              <c:f>'[Chart 2 in Microsoft Word]Sheet1'!$B$43:$D$43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5-48D8-954C-0B46C72F21D9}"/>
            </c:ext>
          </c:extLst>
        </c:ser>
        <c:ser>
          <c:idx val="1"/>
          <c:order val="1"/>
          <c:tx>
            <c:strRef>
              <c:f>'[Chart 2 in Microsoft Word]Sheet1'!$A$44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4256619144602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49-46EC-910A-3A4D7D132437}"/>
                </c:ext>
              </c:extLst>
            </c:dLbl>
            <c:dLbl>
              <c:idx val="1"/>
              <c:layout>
                <c:manualLayout>
                  <c:x val="-8.668142575673187E-17"/>
                  <c:y val="0.188391038696537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49-46EC-910A-3A4D7D132437}"/>
                </c:ext>
              </c:extLst>
            </c:dLbl>
            <c:dLbl>
              <c:idx val="2"/>
              <c:layout>
                <c:manualLayout>
                  <c:x val="2.3640661938533411E-3"/>
                  <c:y val="0.21384928716904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49-46EC-910A-3A4D7D13243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2 in Microsoft Word]Sheet1'!$B$42:$D$42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15</c:v>
                </c:pt>
              </c:numCache>
            </c:numRef>
          </c:cat>
          <c:val>
            <c:numRef>
              <c:f>'[Chart 2 in Microsoft Word]Sheet1'!$B$44:$D$44</c:f>
              <c:numCache>
                <c:formatCode>General</c:formatCode>
                <c:ptCount val="3"/>
                <c:pt idx="0">
                  <c:v>10</c:v>
                </c:pt>
                <c:pt idx="1">
                  <c:v>24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45-48D8-954C-0B46C72F2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15976"/>
        <c:axId val="28216368"/>
      </c:barChart>
      <c:catAx>
        <c:axId val="28215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/>
                  <a:t>Base: All respondents in 2014:</a:t>
                </a:r>
                <a:r>
                  <a:rPr lang="en-GB" i="1" baseline="0"/>
                  <a:t> </a:t>
                </a:r>
                <a:endParaRPr lang="en-GB" i="1"/>
              </a:p>
            </c:rich>
          </c:tx>
          <c:layout>
            <c:manualLayout>
              <c:xMode val="edge"/>
              <c:yMode val="edge"/>
              <c:x val="7.798607620855906E-2"/>
              <c:y val="0.8971230174639577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216368"/>
        <c:crosses val="autoZero"/>
        <c:auto val="1"/>
        <c:lblAlgn val="ctr"/>
        <c:lblOffset val="100"/>
        <c:noMultiLvlLbl val="0"/>
      </c:catAx>
      <c:valAx>
        <c:axId val="2821636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0"/>
        <c:majorTickMark val="out"/>
        <c:minorTickMark val="none"/>
        <c:tickLblPos val="nextTo"/>
        <c:crossAx val="28215976"/>
        <c:crosses val="autoZero"/>
        <c:crossBetween val="between"/>
        <c:dispUnits>
          <c:builtInUnit val="hundreds"/>
        </c:dispUnits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039330904498E-3"/>
                  <c:y val="0.1937479690038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05-4347-B378-2F8F66A81760}"/>
                </c:ext>
              </c:extLst>
            </c:dLbl>
            <c:dLbl>
              <c:idx val="1"/>
              <c:layout>
                <c:manualLayout>
                  <c:x val="0"/>
                  <c:y val="0.2044844394450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05-4347-B378-2F8F66A81760}"/>
                </c:ext>
              </c:extLst>
            </c:dLbl>
            <c:dLbl>
              <c:idx val="2"/>
              <c:layout>
                <c:manualLayout>
                  <c:x val="9.2591997428892805E-3"/>
                  <c:y val="0.216852268466442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05-4347-B378-2F8F66A81760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0.41</c:v>
                </c:pt>
                <c:pt idx="1">
                  <c:v>0.43</c:v>
                </c:pt>
                <c:pt idx="2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05-4347-B378-2F8F66A817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302E-3"/>
                  <c:y val="0.190011248593926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05-4347-B378-2F8F66A81760}"/>
                </c:ext>
              </c:extLst>
            </c:dLbl>
            <c:dLbl>
              <c:idx val="1"/>
              <c:layout>
                <c:manualLayout>
                  <c:x val="4.4878318781580899E-3"/>
                  <c:y val="0.2427568428946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05-4347-B378-2F8F66A81760}"/>
                </c:ext>
              </c:extLst>
            </c:dLbl>
            <c:dLbl>
              <c:idx val="2"/>
              <c:layout>
                <c:manualLayout>
                  <c:x val="0"/>
                  <c:y val="0.288734220722410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05-4347-B378-2F8F66A81760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0.44</c:v>
                </c:pt>
                <c:pt idx="1">
                  <c:v>0.59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05-4347-B378-2F8F66A81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870112"/>
        <c:axId val="361970912"/>
      </c:barChart>
      <c:catAx>
        <c:axId val="368870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>
                    <a:latin typeface="+mj-lt"/>
                  </a:rPr>
                  <a:t>Base:</a:t>
                </a:r>
                <a:r>
                  <a:rPr lang="en-GB" i="1" baseline="0">
                    <a:latin typeface="+mj-lt"/>
                  </a:rPr>
                  <a:t> All respondents in 2014</a:t>
                </a:r>
                <a:endParaRPr lang="en-GB" i="1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1.1109652960046699E-2"/>
              <c:y val="0.919821272340957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1970912"/>
        <c:crosses val="autoZero"/>
        <c:auto val="1"/>
        <c:lblAlgn val="ctr"/>
        <c:lblOffset val="100"/>
        <c:noMultiLvlLbl val="0"/>
      </c:catAx>
      <c:valAx>
        <c:axId val="361970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887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0.25</c:v>
                </c:pt>
                <c:pt idx="1">
                  <c:v>0.23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2-41C5-918C-EDF567BECB0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0.2</c:v>
                </c:pt>
                <c:pt idx="1">
                  <c:v>0.13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52-41C5-918C-EDF567BEC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339760"/>
        <c:axId val="372340152"/>
      </c:barChart>
      <c:catAx>
        <c:axId val="372339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>
                    <a:latin typeface="+mn-lt"/>
                  </a:rPr>
                  <a:t>Base:</a:t>
                </a:r>
                <a:r>
                  <a:rPr lang="en-GB" i="1" baseline="0">
                    <a:latin typeface="+mn-lt"/>
                  </a:rPr>
                  <a:t> All respondents in 2014</a:t>
                </a:r>
                <a:endParaRPr lang="en-GB" i="1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6209370368245601E-2"/>
              <c:y val="0.909845239149725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72340152"/>
        <c:crosses val="autoZero"/>
        <c:auto val="1"/>
        <c:lblAlgn val="ctr"/>
        <c:lblOffset val="100"/>
        <c:noMultiLvlLbl val="0"/>
      </c:catAx>
      <c:valAx>
        <c:axId val="372340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233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151165416860396E-3"/>
                  <c:y val="0.25364126303102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11-4051-823A-6965CE698252}"/>
                </c:ext>
              </c:extLst>
            </c:dLbl>
            <c:dLbl>
              <c:idx val="1"/>
              <c:layout>
                <c:manualLayout>
                  <c:x val="0"/>
                  <c:y val="0.220557620026979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11-4051-823A-6965CE698252}"/>
                </c:ext>
              </c:extLst>
            </c:dLbl>
            <c:dLbl>
              <c:idx val="2"/>
              <c:layout>
                <c:manualLayout>
                  <c:x val="0"/>
                  <c:y val="0.198501858024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11-4051-823A-6965CE6982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0.47</c:v>
                </c:pt>
                <c:pt idx="1">
                  <c:v>0.46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11-4051-823A-6965CE69825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0.27</c:v>
                </c:pt>
                <c:pt idx="1">
                  <c:v>0.22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11-4051-823A-6965CE698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340936"/>
        <c:axId val="372341328"/>
      </c:barChart>
      <c:catAx>
        <c:axId val="372340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Base:All</a:t>
                </a:r>
                <a:r>
                  <a:rPr lang="en-GB" baseline="0"/>
                  <a:t> respondents in 2014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6.0966708520600349E-2"/>
              <c:y val="0.8750242954324587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72341328"/>
        <c:crosses val="autoZero"/>
        <c:auto val="1"/>
        <c:lblAlgn val="ctr"/>
        <c:lblOffset val="100"/>
        <c:noMultiLvlLbl val="0"/>
      </c:catAx>
      <c:valAx>
        <c:axId val="372341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2340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Sheet1!$A$110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558E-3"/>
                  <c:y val="0.25925925925925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B4-4545-8BB3-757C3F617259}"/>
                </c:ext>
              </c:extLst>
            </c:dLbl>
            <c:dLbl>
              <c:idx val="1"/>
              <c:layout>
                <c:manualLayout>
                  <c:x val="0"/>
                  <c:y val="0.185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B4-4545-8BB3-757C3F617259}"/>
                </c:ext>
              </c:extLst>
            </c:dLbl>
            <c:dLbl>
              <c:idx val="2"/>
              <c:layout>
                <c:manualLayout>
                  <c:x val="0"/>
                  <c:y val="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B4-4545-8BB3-757C3F61725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Sheet1!$B$109:$D$109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15</c:v>
                </c:pt>
              </c:numCache>
            </c:numRef>
          </c:cat>
          <c:val>
            <c:numRef>
              <c:f>Sheet1!$B$110:$D$110</c:f>
              <c:numCache>
                <c:formatCode>General</c:formatCode>
                <c:ptCount val="3"/>
                <c:pt idx="0">
                  <c:v>37</c:v>
                </c:pt>
                <c:pt idx="1">
                  <c:v>29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9-407D-9F4F-16370FBD0654}"/>
            </c:ext>
          </c:extLst>
        </c:ser>
        <c:ser>
          <c:idx val="1"/>
          <c:order val="1"/>
          <c:tx>
            <c:strRef>
              <c:f>Sheet1!$A$111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809E-3"/>
                  <c:y val="0.152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B4-4545-8BB3-757C3F617259}"/>
                </c:ext>
              </c:extLst>
            </c:dLbl>
            <c:dLbl>
              <c:idx val="1"/>
              <c:layout>
                <c:manualLayout>
                  <c:x val="-1.0185067526415994E-16"/>
                  <c:y val="0.143518518518518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B4-4545-8BB3-757C3F617259}"/>
                </c:ext>
              </c:extLst>
            </c:dLbl>
            <c:dLbl>
              <c:idx val="2"/>
              <c:layout>
                <c:manualLayout>
                  <c:x val="1.0185067526415994E-16"/>
                  <c:y val="0.1435185185185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B4-4545-8BB3-757C3F61725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Sheet1!$B$109:$D$109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15</c:v>
                </c:pt>
              </c:numCache>
            </c:numRef>
          </c:cat>
          <c:val>
            <c:numRef>
              <c:f>Sheet1!$B$111:$D$111</c:f>
              <c:numCache>
                <c:formatCode>General</c:formatCode>
                <c:ptCount val="3"/>
                <c:pt idx="0">
                  <c:v>23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C9-407D-9F4F-16370FBD06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342112"/>
        <c:axId val="329887952"/>
      </c:barChart>
      <c:catAx>
        <c:axId val="372342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/>
                  <a:t>Base:</a:t>
                </a:r>
                <a:r>
                  <a:rPr lang="en-GB" i="1" baseline="0"/>
                  <a:t> all respondents in 2014</a:t>
                </a:r>
                <a:endParaRPr lang="en-GB" i="1"/>
              </a:p>
            </c:rich>
          </c:tx>
          <c:layout>
            <c:manualLayout>
              <c:xMode val="edge"/>
              <c:yMode val="edge"/>
              <c:x val="4.516141732283465E-2"/>
              <c:y val="0.874050743657042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9887952"/>
        <c:crosses val="autoZero"/>
        <c:auto val="1"/>
        <c:lblAlgn val="ctr"/>
        <c:lblOffset val="100"/>
        <c:noMultiLvlLbl val="0"/>
      </c:catAx>
      <c:valAx>
        <c:axId val="32988795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72342112"/>
        <c:crosses val="autoZero"/>
        <c:crossBetween val="between"/>
        <c:dispUnits>
          <c:builtInUnit val="hundreds"/>
        </c:dispUnits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Boys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0.13</c:v>
                </c:pt>
                <c:pt idx="1">
                  <c:v>0.19</c:v>
                </c:pt>
                <c:pt idx="2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B0-4EDD-BAC2-BBE1FC425CA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Girls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11 years </c:v>
                </c:pt>
                <c:pt idx="1">
                  <c:v>13 years </c:v>
                </c:pt>
                <c:pt idx="2">
                  <c:v>15 years 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0.11</c:v>
                </c:pt>
                <c:pt idx="1">
                  <c:v>0.25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B0-4EDD-BAC2-BBE1FC425C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888736"/>
        <c:axId val="329889128"/>
      </c:barChart>
      <c:catAx>
        <c:axId val="329888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i="1"/>
                  <a:t>Base:</a:t>
                </a:r>
                <a:r>
                  <a:rPr lang="en-GB" i="1" baseline="0"/>
                  <a:t> All respondents in 2014</a:t>
                </a:r>
                <a:endParaRPr lang="en-GB" i="1"/>
              </a:p>
            </c:rich>
          </c:tx>
          <c:layout>
            <c:manualLayout>
              <c:xMode val="edge"/>
              <c:yMode val="edge"/>
              <c:x val="2.3126369896649901E-2"/>
              <c:y val="0.9137920370966059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29889128"/>
        <c:crosses val="autoZero"/>
        <c:auto val="1"/>
        <c:lblAlgn val="ctr"/>
        <c:lblOffset val="100"/>
        <c:noMultiLvlLbl val="0"/>
      </c:catAx>
      <c:valAx>
        <c:axId val="329889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988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A117-93BF-4AC5-80C3-86F4C495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Klemera</dc:creator>
  <cp:lastModifiedBy>Ellen Klemera</cp:lastModifiedBy>
  <cp:revision>2</cp:revision>
  <cp:lastPrinted>2015-05-28T14:29:00Z</cp:lastPrinted>
  <dcterms:created xsi:type="dcterms:W3CDTF">2018-08-30T09:03:00Z</dcterms:created>
  <dcterms:modified xsi:type="dcterms:W3CDTF">2018-08-30T09:03:00Z</dcterms:modified>
</cp:coreProperties>
</file>