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55BEB" w14:textId="3D6DBA1E" w:rsidR="00F132CC" w:rsidRDefault="00F132CC" w:rsidP="004970CA">
      <w:pPr>
        <w:rPr>
          <w:b/>
        </w:rPr>
      </w:pPr>
      <w:bookmarkStart w:id="0" w:name="_GoBack"/>
      <w:bookmarkEnd w:id="0"/>
      <w:r w:rsidRPr="00F132CC">
        <w:rPr>
          <w:b/>
        </w:rPr>
        <w:t xml:space="preserve">Are General Practice based pharmacists guardian angels for antibiotic prescribing in </w:t>
      </w:r>
      <w:r w:rsidR="00612A12">
        <w:rPr>
          <w:b/>
        </w:rPr>
        <w:t>primary care? A</w:t>
      </w:r>
      <w:r w:rsidRPr="00F132CC">
        <w:rPr>
          <w:b/>
        </w:rPr>
        <w:t xml:space="preserve"> </w:t>
      </w:r>
      <w:r w:rsidR="00612A12">
        <w:rPr>
          <w:b/>
        </w:rPr>
        <w:t xml:space="preserve">quality improvement project using a point prevalence </w:t>
      </w:r>
      <w:r w:rsidR="00561B00">
        <w:rPr>
          <w:b/>
        </w:rPr>
        <w:t>analysis</w:t>
      </w:r>
      <w:r w:rsidR="00612A12">
        <w:rPr>
          <w:b/>
        </w:rPr>
        <w:t xml:space="preserve"> of antimicrobial prescribing rates across</w:t>
      </w:r>
      <w:r w:rsidRPr="00F132CC">
        <w:rPr>
          <w:b/>
        </w:rPr>
        <w:t xml:space="preserve"> 12</w:t>
      </w:r>
      <w:r w:rsidR="00D26A6E">
        <w:rPr>
          <w:b/>
        </w:rPr>
        <w:t>2</w:t>
      </w:r>
      <w:r w:rsidRPr="00F132CC">
        <w:rPr>
          <w:b/>
        </w:rPr>
        <w:t xml:space="preserve"> General Pra</w:t>
      </w:r>
      <w:r>
        <w:rPr>
          <w:b/>
        </w:rPr>
        <w:t>ctice surgeries</w:t>
      </w:r>
      <w:r w:rsidR="00612A12">
        <w:rPr>
          <w:b/>
        </w:rPr>
        <w:t xml:space="preserve"> in England</w:t>
      </w:r>
    </w:p>
    <w:p w14:paraId="7F541C9C" w14:textId="77777777" w:rsidR="00F132CC" w:rsidRDefault="00F132CC" w:rsidP="004970CA">
      <w:pPr>
        <w:rPr>
          <w:b/>
        </w:rPr>
      </w:pPr>
    </w:p>
    <w:p w14:paraId="58DA8F7F" w14:textId="77777777" w:rsidR="00B50790" w:rsidRPr="004970CA" w:rsidRDefault="00B50790" w:rsidP="004970CA">
      <w:pPr>
        <w:rPr>
          <w:b/>
        </w:rPr>
      </w:pPr>
      <w:r w:rsidRPr="004970CA">
        <w:rPr>
          <w:b/>
        </w:rPr>
        <w:t>INTRODUCTION</w:t>
      </w:r>
    </w:p>
    <w:p w14:paraId="53BFDAAB" w14:textId="77777777" w:rsidR="008C7B01" w:rsidRPr="00205A56" w:rsidRDefault="00147234" w:rsidP="004970CA">
      <w:r w:rsidRPr="00205A56">
        <w:t>A</w:t>
      </w:r>
      <w:r w:rsidR="008054FC" w:rsidRPr="00205A56">
        <w:t xml:space="preserve">ntimicrobial resistance (AMR) </w:t>
      </w:r>
      <w:r w:rsidRPr="00205A56">
        <w:t>is recognised as a worldwide public health problem with the negative impact on health and economic outcomes</w:t>
      </w:r>
      <w:r w:rsidR="00EC1695" w:rsidRPr="00205A56">
        <w:t xml:space="preserve"> </w:t>
      </w:r>
      <w:r w:rsidR="008054FC" w:rsidRPr="00205A56">
        <w:t>well established</w:t>
      </w:r>
      <w:sdt>
        <w:sdtPr>
          <w:id w:val="-577519177"/>
          <w:citation/>
        </w:sdtPr>
        <w:sdtEndPr/>
        <w:sdtContent>
          <w:r w:rsidR="004A2363" w:rsidRPr="00205A56">
            <w:fldChar w:fldCharType="begin"/>
          </w:r>
          <w:r w:rsidR="004A2363" w:rsidRPr="00205A56">
            <w:instrText xml:space="preserve"> CITATION eliopoulos-cosgrove-2003-the-impact-of-antimicrobial-resistance-on-health-and-economic-outcomes \l 2057 </w:instrText>
          </w:r>
          <w:r w:rsidR="004A2363" w:rsidRPr="00205A56">
            <w:fldChar w:fldCharType="separate"/>
          </w:r>
          <w:r w:rsidR="009D5AC8">
            <w:rPr>
              <w:noProof/>
            </w:rPr>
            <w:t xml:space="preserve"> </w:t>
          </w:r>
          <w:r w:rsidR="009D5AC8" w:rsidRPr="009D5AC8">
            <w:rPr>
              <w:noProof/>
            </w:rPr>
            <w:t>[1]</w:t>
          </w:r>
          <w:r w:rsidR="004A2363" w:rsidRPr="00205A56">
            <w:fldChar w:fldCharType="end"/>
          </w:r>
        </w:sdtContent>
      </w:sdt>
      <w:sdt>
        <w:sdtPr>
          <w:id w:val="2134443972"/>
          <w:citation/>
        </w:sdtPr>
        <w:sdtEndPr/>
        <w:sdtContent>
          <w:r w:rsidR="004A2363" w:rsidRPr="00205A56">
            <w:fldChar w:fldCharType="begin"/>
          </w:r>
          <w:r w:rsidR="004A2363" w:rsidRPr="00205A56">
            <w:instrText xml:space="preserve"> CITATION cosgrove-2005-the-relationship-between-antimicrobial-resistance-and-patient-outcomes:-mortality,-length-of-hospital-stay,-and-health-care-costs \l 2057 </w:instrText>
          </w:r>
          <w:r w:rsidR="004A2363" w:rsidRPr="00205A56">
            <w:fldChar w:fldCharType="separate"/>
          </w:r>
          <w:r w:rsidR="009D5AC8">
            <w:rPr>
              <w:noProof/>
            </w:rPr>
            <w:t xml:space="preserve"> </w:t>
          </w:r>
          <w:r w:rsidR="009D5AC8" w:rsidRPr="009D5AC8">
            <w:rPr>
              <w:noProof/>
            </w:rPr>
            <w:t>[2]</w:t>
          </w:r>
          <w:r w:rsidR="004A2363" w:rsidRPr="00205A56">
            <w:fldChar w:fldCharType="end"/>
          </w:r>
        </w:sdtContent>
      </w:sdt>
      <w:sdt>
        <w:sdtPr>
          <w:id w:val="937262242"/>
          <w:citation/>
        </w:sdtPr>
        <w:sdtEndPr/>
        <w:sdtContent>
          <w:r w:rsidR="004A2363" w:rsidRPr="00205A56">
            <w:fldChar w:fldCharType="begin"/>
          </w:r>
          <w:r w:rsidR="004A2363" w:rsidRPr="00205A56">
            <w:instrText xml:space="preserve"> CITATION smith-coast-2002-antimicrobial-resistance:-a-global-response \l 2057 </w:instrText>
          </w:r>
          <w:r w:rsidR="004A2363" w:rsidRPr="00205A56">
            <w:fldChar w:fldCharType="separate"/>
          </w:r>
          <w:r w:rsidR="009D5AC8">
            <w:rPr>
              <w:noProof/>
            </w:rPr>
            <w:t xml:space="preserve"> </w:t>
          </w:r>
          <w:r w:rsidR="009D5AC8" w:rsidRPr="009D5AC8">
            <w:rPr>
              <w:noProof/>
            </w:rPr>
            <w:t>[3]</w:t>
          </w:r>
          <w:r w:rsidR="004A2363" w:rsidRPr="00205A56">
            <w:fldChar w:fldCharType="end"/>
          </w:r>
        </w:sdtContent>
      </w:sdt>
      <w:r w:rsidRPr="00205A56">
        <w:t xml:space="preserve">. </w:t>
      </w:r>
      <w:r w:rsidR="00EC1695" w:rsidRPr="00205A56">
        <w:t>An important driver of resistance is the medical use</w:t>
      </w:r>
      <w:r w:rsidR="00E82307">
        <w:t>, misuse and</w:t>
      </w:r>
      <w:r w:rsidR="008054FC" w:rsidRPr="00205A56">
        <w:t xml:space="preserve"> overuse</w:t>
      </w:r>
      <w:r w:rsidR="00EC1695" w:rsidRPr="00205A56">
        <w:t xml:space="preserve"> of antibiotics </w:t>
      </w:r>
      <w:sdt>
        <w:sdtPr>
          <w:id w:val="1719395813"/>
          <w:citation/>
        </w:sdtPr>
        <w:sdtEndPr/>
        <w:sdtContent>
          <w:r w:rsidR="008054FC" w:rsidRPr="00205A56">
            <w:fldChar w:fldCharType="begin"/>
          </w:r>
          <w:r w:rsidR="008054FC" w:rsidRPr="00205A56">
            <w:instrText xml:space="preserve"> CITATION sundsfjord-steinbakk-2015-article-in-the-lancet-· \l 2057 </w:instrText>
          </w:r>
          <w:r w:rsidR="008054FC" w:rsidRPr="00205A56">
            <w:fldChar w:fldCharType="separate"/>
          </w:r>
          <w:r w:rsidR="009D5AC8" w:rsidRPr="009D5AC8">
            <w:rPr>
              <w:noProof/>
            </w:rPr>
            <w:t>[4]</w:t>
          </w:r>
          <w:r w:rsidR="008054FC" w:rsidRPr="00205A56">
            <w:fldChar w:fldCharType="end"/>
          </w:r>
        </w:sdtContent>
      </w:sdt>
      <w:r w:rsidR="008054FC" w:rsidRPr="00205A56">
        <w:t xml:space="preserve">. </w:t>
      </w:r>
      <w:r w:rsidR="004A2363" w:rsidRPr="00205A56">
        <w:t xml:space="preserve">Antimicrobial stewardship </w:t>
      </w:r>
      <w:r w:rsidR="00B81B19">
        <w:t xml:space="preserve">(AMS) </w:t>
      </w:r>
      <w:r w:rsidR="004A2363" w:rsidRPr="00205A56">
        <w:t xml:space="preserve">programmes are intended to </w:t>
      </w:r>
      <w:r w:rsidRPr="00205A56">
        <w:t xml:space="preserve">counter </w:t>
      </w:r>
      <w:r w:rsidR="00E32284" w:rsidRPr="00205A56">
        <w:t>this</w:t>
      </w:r>
      <w:r w:rsidRPr="00205A56">
        <w:t xml:space="preserve"> by </w:t>
      </w:r>
      <w:r w:rsidR="00671E7C" w:rsidRPr="00205A56">
        <w:t>optimizing antibiotic use to improve patient outcomes while at the same time minimizing toxicity and other adverse events.</w:t>
      </w:r>
      <w:r w:rsidR="004A2363" w:rsidRPr="00205A56">
        <w:t xml:space="preserve"> </w:t>
      </w:r>
    </w:p>
    <w:p w14:paraId="0234C2AB" w14:textId="77777777" w:rsidR="00E32284" w:rsidRPr="00205A56" w:rsidRDefault="00147234" w:rsidP="004970CA">
      <w:r w:rsidRPr="00205A56">
        <w:t xml:space="preserve">With primary care accounting for over 80% of all antibiotics prescribed in England </w:t>
      </w:r>
      <w:sdt>
        <w:sdtPr>
          <w:id w:val="1145707959"/>
          <w:citation/>
        </w:sdtPr>
        <w:sdtEndPr/>
        <w:sdtContent>
          <w:r w:rsidRPr="00205A56">
            <w:fldChar w:fldCharType="begin"/>
          </w:r>
          <w:r w:rsidRPr="00205A56">
            <w:instrText xml:space="preserve"> CITATION 2018-english-surveillance-programme-for-antimicrobial-utilisation-and-resistance-(espaur) \l 2057 </w:instrText>
          </w:r>
          <w:r w:rsidRPr="00205A56">
            <w:fldChar w:fldCharType="separate"/>
          </w:r>
          <w:r w:rsidR="009D5AC8" w:rsidRPr="009D5AC8">
            <w:rPr>
              <w:noProof/>
            </w:rPr>
            <w:t>[5]</w:t>
          </w:r>
          <w:r w:rsidRPr="00205A56">
            <w:fldChar w:fldCharType="end"/>
          </w:r>
        </w:sdtContent>
      </w:sdt>
      <w:r w:rsidRPr="00205A56">
        <w:t xml:space="preserve"> this setting is a</w:t>
      </w:r>
      <w:r w:rsidR="00671E7C" w:rsidRPr="00205A56">
        <w:t xml:space="preserve"> natural target for</w:t>
      </w:r>
      <w:r w:rsidRPr="00205A56">
        <w:t xml:space="preserve"> significant </w:t>
      </w:r>
      <w:r w:rsidR="00B81B19">
        <w:t>AMS</w:t>
      </w:r>
      <w:r w:rsidRPr="00205A56">
        <w:t xml:space="preserve"> efforts. </w:t>
      </w:r>
      <w:r w:rsidR="009D0EC4">
        <w:t xml:space="preserve">In 2015, NHS England </w:t>
      </w:r>
      <w:r w:rsidR="00D35BBA">
        <w:t xml:space="preserve">(NHSE) </w:t>
      </w:r>
      <w:r w:rsidR="009D0EC4">
        <w:t>published the</w:t>
      </w:r>
      <w:r w:rsidR="00E32284" w:rsidRPr="00205A56">
        <w:t xml:space="preserve"> antibiotic Quality Premium to financial reward  Clinical Commissioning Groups</w:t>
      </w:r>
      <w:r w:rsidR="006A72BD">
        <w:t xml:space="preserve"> (CCGs)</w:t>
      </w:r>
      <w:r w:rsidR="00E32284" w:rsidRPr="00205A56">
        <w:t xml:space="preserve"> (who are responsible for commissioning healthcare for a local population) to reduce the number of ant</w:t>
      </w:r>
      <w:r w:rsidR="00E736D8" w:rsidRPr="00205A56">
        <w:t>ibiotics prescribed in general practice</w:t>
      </w:r>
      <w:r w:rsidR="00E32284" w:rsidRPr="00205A56">
        <w:t xml:space="preserve"> by 1% (or greater) per year</w:t>
      </w:r>
      <w:sdt>
        <w:sdtPr>
          <w:id w:val="-1282180431"/>
          <w:citation/>
        </w:sdtPr>
        <w:sdtEndPr/>
        <w:sdtContent>
          <w:r w:rsidR="00E32284" w:rsidRPr="00205A56">
            <w:fldChar w:fldCharType="begin"/>
          </w:r>
          <w:r w:rsidR="00E32284" w:rsidRPr="00205A56">
            <w:instrText xml:space="preserve"> CITATION quality-premium:-2015/16-guidance-for-ccgs \l 2057 </w:instrText>
          </w:r>
          <w:r w:rsidR="00E32284" w:rsidRPr="00205A56">
            <w:fldChar w:fldCharType="separate"/>
          </w:r>
          <w:r w:rsidR="009D5AC8">
            <w:rPr>
              <w:noProof/>
            </w:rPr>
            <w:t xml:space="preserve"> </w:t>
          </w:r>
          <w:r w:rsidR="009D5AC8" w:rsidRPr="009D5AC8">
            <w:rPr>
              <w:noProof/>
            </w:rPr>
            <w:t>[6]</w:t>
          </w:r>
          <w:r w:rsidR="00E32284" w:rsidRPr="00205A56">
            <w:fldChar w:fldCharType="end"/>
          </w:r>
        </w:sdtContent>
      </w:sdt>
      <w:r w:rsidR="00E32284" w:rsidRPr="00205A56">
        <w:t xml:space="preserve"> </w:t>
      </w:r>
      <w:sdt>
        <w:sdtPr>
          <w:id w:val="-192000880"/>
          <w:citation/>
        </w:sdtPr>
        <w:sdtEndPr/>
        <w:sdtContent>
          <w:r w:rsidR="00E32284" w:rsidRPr="00205A56">
            <w:fldChar w:fldCharType="begin"/>
          </w:r>
          <w:r w:rsidR="00E32284" w:rsidRPr="00205A56">
            <w:instrText xml:space="preserve"> CITATION johnson-ashiru-oredope-2015-antibiotic-stewardship-initiatives-as-part-of-the-uk-5-year-antimicrobial-resistance-strategy. \l 2057 </w:instrText>
          </w:r>
          <w:r w:rsidR="00E32284" w:rsidRPr="00205A56">
            <w:fldChar w:fldCharType="separate"/>
          </w:r>
          <w:r w:rsidR="009D5AC8" w:rsidRPr="009D5AC8">
            <w:rPr>
              <w:noProof/>
            </w:rPr>
            <w:t>[7]</w:t>
          </w:r>
          <w:r w:rsidR="00E32284" w:rsidRPr="00205A56">
            <w:fldChar w:fldCharType="end"/>
          </w:r>
        </w:sdtContent>
      </w:sdt>
      <w:r w:rsidR="00E736D8" w:rsidRPr="00205A56">
        <w:t xml:space="preserve"> . The 2018 ESPAUR report showed that between 2013 and 2017</w:t>
      </w:r>
      <w:r w:rsidR="009D0EC4">
        <w:t>,</w:t>
      </w:r>
      <w:r w:rsidR="00E736D8" w:rsidRPr="00205A56">
        <w:t xml:space="preserve"> overall antibiotic prescribing in primary care fell by 13.4% in general practice</w:t>
      </w:r>
      <w:sdt>
        <w:sdtPr>
          <w:id w:val="-1009751212"/>
          <w:citation/>
        </w:sdtPr>
        <w:sdtEndPr/>
        <w:sdtContent>
          <w:r w:rsidR="00E736D8" w:rsidRPr="00205A56">
            <w:fldChar w:fldCharType="begin"/>
          </w:r>
          <w:r w:rsidR="00E736D8" w:rsidRPr="00205A56">
            <w:instrText xml:space="preserve"> CITATION 2018-english-surveillance-programme-for-antimicrobial-utilisation-and-resistance-(espaur) \l 2057 </w:instrText>
          </w:r>
          <w:r w:rsidR="00E736D8" w:rsidRPr="00205A56">
            <w:fldChar w:fldCharType="separate"/>
          </w:r>
          <w:r w:rsidR="009D5AC8">
            <w:rPr>
              <w:noProof/>
            </w:rPr>
            <w:t xml:space="preserve"> </w:t>
          </w:r>
          <w:r w:rsidR="009D5AC8" w:rsidRPr="009D5AC8">
            <w:rPr>
              <w:noProof/>
            </w:rPr>
            <w:t>[5]</w:t>
          </w:r>
          <w:r w:rsidR="00E736D8" w:rsidRPr="00205A56">
            <w:fldChar w:fldCharType="end"/>
          </w:r>
        </w:sdtContent>
      </w:sdt>
      <w:r w:rsidR="00E736D8" w:rsidRPr="00205A56">
        <w:t>.</w:t>
      </w:r>
    </w:p>
    <w:p w14:paraId="3D1CC6DB" w14:textId="77777777" w:rsidR="008866E2" w:rsidRDefault="00352A8D" w:rsidP="004970CA">
      <w:r>
        <w:t xml:space="preserve">Despite these reductions, </w:t>
      </w:r>
      <w:r w:rsidR="00205A56">
        <w:t>the UK</w:t>
      </w:r>
      <w:r w:rsidR="00205A56" w:rsidRPr="00205A56">
        <w:t xml:space="preserve"> 5-year action plan for </w:t>
      </w:r>
      <w:r w:rsidR="00D35BBA">
        <w:t>AMR</w:t>
      </w:r>
      <w:r w:rsidR="00205A56">
        <w:t xml:space="preserve"> </w:t>
      </w:r>
      <w:r w:rsidR="003B1580">
        <w:t xml:space="preserve">published in 2019 has set a target to reduce UK antimicrobial use in humans by 15% by 2024 </w:t>
      </w:r>
      <w:sdt>
        <w:sdtPr>
          <w:id w:val="-845175558"/>
          <w:citation/>
        </w:sdtPr>
        <w:sdtEndPr/>
        <w:sdtContent>
          <w:r w:rsidR="003B1580">
            <w:fldChar w:fldCharType="begin"/>
          </w:r>
          <w:r w:rsidR="003B1580">
            <w:instrText xml:space="preserve"> CITATION 2019-the-uk's-five-year-national-action-plan \l 2057 </w:instrText>
          </w:r>
          <w:r w:rsidR="003B1580">
            <w:fldChar w:fldCharType="separate"/>
          </w:r>
          <w:r w:rsidR="009D5AC8" w:rsidRPr="009D5AC8">
            <w:rPr>
              <w:noProof/>
            </w:rPr>
            <w:t>[8]</w:t>
          </w:r>
          <w:r w:rsidR="003B1580">
            <w:fldChar w:fldCharType="end"/>
          </w:r>
        </w:sdtContent>
      </w:sdt>
      <w:r w:rsidR="00540B3F">
        <w:t xml:space="preserve">. </w:t>
      </w:r>
      <w:r w:rsidR="00E82307">
        <w:t xml:space="preserve">The workforce shortfall in primary care </w:t>
      </w:r>
      <w:r w:rsidR="00A8460E">
        <w:t>i</w:t>
      </w:r>
      <w:r w:rsidR="00E82307">
        <w:t>n England will be a challenge to this ambition</w:t>
      </w:r>
      <w:r w:rsidR="00540B3F">
        <w:t>.</w:t>
      </w:r>
      <w:r w:rsidR="00E82307">
        <w:t xml:space="preserve"> </w:t>
      </w:r>
      <w:r w:rsidR="00A8460E">
        <w:t xml:space="preserve">NHSE has set out how changing the skill mix is one way that it </w:t>
      </w:r>
      <w:r w:rsidR="00E82307">
        <w:t xml:space="preserve">intends to address </w:t>
      </w:r>
      <w:r w:rsidR="008866E2">
        <w:t>the</w:t>
      </w:r>
      <w:r w:rsidR="00A8460E">
        <w:t xml:space="preserve"> shortfall</w:t>
      </w:r>
      <w:r w:rsidR="008D09A3">
        <w:t>. Under the new</w:t>
      </w:r>
      <w:r w:rsidR="008D09A3" w:rsidRPr="008D09A3">
        <w:t xml:space="preserve"> five-year GP contract, </w:t>
      </w:r>
      <w:r w:rsidR="008866E2">
        <w:t xml:space="preserve">clinical pharmacists </w:t>
      </w:r>
      <w:r w:rsidR="008D09A3">
        <w:t xml:space="preserve">are to be </w:t>
      </w:r>
      <w:r w:rsidR="008866E2">
        <w:t>central to this change</w:t>
      </w:r>
      <w:r w:rsidR="008D09A3">
        <w:t xml:space="preserve"> with </w:t>
      </w:r>
      <w:r w:rsidR="008D09A3" w:rsidRPr="008D09A3">
        <w:t xml:space="preserve">a typical </w:t>
      </w:r>
      <w:r w:rsidR="008D09A3">
        <w:t>Primary Care Network (</w:t>
      </w:r>
      <w:r w:rsidR="008D09A3" w:rsidRPr="008D09A3">
        <w:t>PCN</w:t>
      </w:r>
      <w:r w:rsidR="008D09A3">
        <w:t xml:space="preserve">) of 50,000 </w:t>
      </w:r>
      <w:r w:rsidR="008D09A3" w:rsidRPr="008D09A3">
        <w:t xml:space="preserve">patients </w:t>
      </w:r>
      <w:r w:rsidR="008D09A3">
        <w:t xml:space="preserve">expected to </w:t>
      </w:r>
      <w:r w:rsidR="008D09A3" w:rsidRPr="008D09A3">
        <w:t>have</w:t>
      </w:r>
      <w:r w:rsidR="00CE10CB">
        <w:t xml:space="preserve"> up to </w:t>
      </w:r>
      <w:r w:rsidR="008D09A3" w:rsidRPr="008D09A3">
        <w:t>fiv</w:t>
      </w:r>
      <w:r w:rsidR="008D09A3">
        <w:t>e clinical pharmacists by 2024,</w:t>
      </w:r>
      <w:r w:rsidR="008D09A3" w:rsidRPr="008D09A3">
        <w:t xml:space="preserve"> the equivalent of one </w:t>
      </w:r>
      <w:r w:rsidR="008D09A3">
        <w:t xml:space="preserve">pharmacist </w:t>
      </w:r>
      <w:r w:rsidR="008D09A3" w:rsidRPr="008D09A3">
        <w:t xml:space="preserve">per </w:t>
      </w:r>
      <w:r w:rsidR="008D09A3">
        <w:t xml:space="preserve">GP </w:t>
      </w:r>
      <w:r w:rsidR="002C3BE3">
        <w:t>practice</w:t>
      </w:r>
      <w:r w:rsidR="008866E2" w:rsidRPr="008866E2">
        <w:t xml:space="preserve"> </w:t>
      </w:r>
      <w:sdt>
        <w:sdtPr>
          <w:id w:val="1556041792"/>
          <w:citation/>
        </w:sdtPr>
        <w:sdtEndPr/>
        <w:sdtContent>
          <w:r w:rsidR="008866E2">
            <w:fldChar w:fldCharType="begin"/>
          </w:r>
          <w:r w:rsidR="008866E2">
            <w:instrText xml:space="preserve"> CITATION 2019-investment-and-evolution:-a-five-year-framework-for-gp-contract-reform-to-implement-the-nhs-long-term-plan \l 2057 </w:instrText>
          </w:r>
          <w:r w:rsidR="008866E2">
            <w:fldChar w:fldCharType="separate"/>
          </w:r>
          <w:r w:rsidR="009D5AC8" w:rsidRPr="009D5AC8">
            <w:rPr>
              <w:noProof/>
            </w:rPr>
            <w:t>[9]</w:t>
          </w:r>
          <w:r w:rsidR="008866E2">
            <w:fldChar w:fldCharType="end"/>
          </w:r>
        </w:sdtContent>
      </w:sdt>
      <w:r w:rsidR="008866E2">
        <w:t xml:space="preserve">. </w:t>
      </w:r>
    </w:p>
    <w:p w14:paraId="140583E6" w14:textId="1653789C" w:rsidR="00540B3F" w:rsidRDefault="00B84BC2" w:rsidP="004970CA">
      <w:r>
        <w:t>In 2016, the government</w:t>
      </w:r>
      <w:r w:rsidR="00A32E55" w:rsidRPr="00E32E6D">
        <w:t xml:space="preserve"> committed over £100 million to support an extra 1,500 clinical pharmacists to work in general practice by 2020</w:t>
      </w:r>
      <w:r w:rsidR="00A32E55">
        <w:t xml:space="preserve"> </w:t>
      </w:r>
      <w:sdt>
        <w:sdtPr>
          <w:id w:val="-1149821884"/>
          <w:citation/>
        </w:sdtPr>
        <w:sdtEndPr/>
        <w:sdtContent>
          <w:r w:rsidR="00A32E55">
            <w:fldChar w:fldCharType="begin"/>
          </w:r>
          <w:r w:rsidR="00A32E55">
            <w:instrText xml:space="preserve"> CITATION 2016-general-practice-forward-view \l 2057 </w:instrText>
          </w:r>
          <w:r w:rsidR="00A32E55">
            <w:fldChar w:fldCharType="separate"/>
          </w:r>
          <w:r w:rsidR="009D5AC8" w:rsidRPr="009D5AC8">
            <w:rPr>
              <w:noProof/>
            </w:rPr>
            <w:t>[10]</w:t>
          </w:r>
          <w:r w:rsidR="00A32E55">
            <w:fldChar w:fldCharType="end"/>
          </w:r>
        </w:sdtContent>
      </w:sdt>
      <w:r w:rsidR="00A32E55" w:rsidRPr="00E32E6D">
        <w:t>.</w:t>
      </w:r>
      <w:r w:rsidR="00A32E55">
        <w:t xml:space="preserve"> </w:t>
      </w:r>
      <w:r w:rsidRPr="00E32E6D">
        <w:t>C</w:t>
      </w:r>
      <w:r>
        <w:t>onsequently, in line with the phased increase in investment, c</w:t>
      </w:r>
      <w:r w:rsidR="00A32E55" w:rsidRPr="00E32E6D">
        <w:t xml:space="preserve">linical pharmacists </w:t>
      </w:r>
      <w:r>
        <w:t xml:space="preserve">are </w:t>
      </w:r>
      <w:r w:rsidRPr="00E32E6D">
        <w:t>work</w:t>
      </w:r>
      <w:r>
        <w:t>ing</w:t>
      </w:r>
      <w:r w:rsidRPr="00E32E6D">
        <w:t xml:space="preserve"> </w:t>
      </w:r>
      <w:r w:rsidR="00A32E55">
        <w:t>in these relatively new</w:t>
      </w:r>
      <w:r>
        <w:t xml:space="preserve"> and developing </w:t>
      </w:r>
      <w:r w:rsidR="00A32E55">
        <w:t>roles</w:t>
      </w:r>
      <w:r>
        <w:t xml:space="preserve"> with ever growing </w:t>
      </w:r>
      <w:r w:rsidR="00C226F6">
        <w:t>numbers</w:t>
      </w:r>
      <w:r>
        <w:t>. As of December 2018, 29 of the 122 practices across the 2 CCGs in Hertfordshire have a clinical pharmacist assigned to their practice</w:t>
      </w:r>
      <w:r w:rsidR="00561B00">
        <w:t xml:space="preserve"> many as i</w:t>
      </w:r>
      <w:r w:rsidR="00561B00" w:rsidRPr="00561B00">
        <w:t>ndependent non-medical prescribers</w:t>
      </w:r>
      <w:r>
        <w:t xml:space="preserve">. </w:t>
      </w:r>
      <w:r w:rsidR="00D35BBA">
        <w:t>The objective</w:t>
      </w:r>
      <w:r w:rsidR="00D35BBA" w:rsidRPr="00724FFD">
        <w:t xml:space="preserve">s of the analysis were to </w:t>
      </w:r>
      <w:r w:rsidR="00D35BBA">
        <w:t xml:space="preserve">compare </w:t>
      </w:r>
      <w:r w:rsidR="00D35BBA" w:rsidRPr="00724FFD">
        <w:t>antibiotic prescribing rates in those practices with a clinical pharmacist to those without.</w:t>
      </w:r>
    </w:p>
    <w:p w14:paraId="32A1CBD9" w14:textId="77777777" w:rsidR="000975C0" w:rsidRDefault="000975C0" w:rsidP="004970CA"/>
    <w:p w14:paraId="04160DA4" w14:textId="77777777" w:rsidR="00B50790" w:rsidRPr="004970CA" w:rsidRDefault="00B50790" w:rsidP="004970CA">
      <w:pPr>
        <w:rPr>
          <w:b/>
        </w:rPr>
      </w:pPr>
      <w:r w:rsidRPr="004970CA">
        <w:rPr>
          <w:b/>
        </w:rPr>
        <w:t>METHODS</w:t>
      </w:r>
    </w:p>
    <w:p w14:paraId="5D15FCD5" w14:textId="77777777" w:rsidR="00D70EC1" w:rsidRDefault="00251A4E" w:rsidP="004970CA">
      <w:r>
        <w:t>This</w:t>
      </w:r>
      <w:r w:rsidR="00494FF7" w:rsidRPr="00494FF7">
        <w:t xml:space="preserve"> </w:t>
      </w:r>
      <w:r w:rsidR="001A7B35" w:rsidRPr="00494FF7">
        <w:t>cros</w:t>
      </w:r>
      <w:r w:rsidR="001A7B35">
        <w:t>s‐sectional retrospective</w:t>
      </w:r>
      <w:r w:rsidR="00F132CC">
        <w:t xml:space="preserve"> point prevalence survey</w:t>
      </w:r>
      <w:r w:rsidR="001A7B35">
        <w:t xml:space="preserve"> utilized</w:t>
      </w:r>
      <w:r w:rsidR="00494FF7" w:rsidRPr="00494FF7">
        <w:t xml:space="preserve"> data from</w:t>
      </w:r>
      <w:r w:rsidR="00494FF7">
        <w:t xml:space="preserve"> the NHS Digital (NHSBSA) database. </w:t>
      </w:r>
      <w:r w:rsidR="000A6536" w:rsidRPr="00D70EC1">
        <w:t>In line with the 2018/19 iteration of the quality premium</w:t>
      </w:r>
      <w:r w:rsidR="006C7980" w:rsidRPr="00D70EC1">
        <w:t>,</w:t>
      </w:r>
      <w:r w:rsidR="00494FF7">
        <w:t xml:space="preserve"> </w:t>
      </w:r>
      <w:r w:rsidR="006C7980" w:rsidRPr="00D70EC1">
        <w:t>antibiotic prescribing rates from all GP practices acr</w:t>
      </w:r>
      <w:r w:rsidR="001A7B35">
        <w:t xml:space="preserve">oss Hertfordshire </w:t>
      </w:r>
      <w:r w:rsidR="00CF71EB">
        <w:t>for December 2018</w:t>
      </w:r>
      <w:r>
        <w:t xml:space="preserve"> were analysed</w:t>
      </w:r>
      <w:sdt>
        <w:sdtPr>
          <w:id w:val="-695693432"/>
          <w:citation/>
        </w:sdtPr>
        <w:sdtEndPr/>
        <w:sdtContent>
          <w:r w:rsidR="00D70EC1" w:rsidRPr="00D70EC1">
            <w:fldChar w:fldCharType="begin"/>
          </w:r>
          <w:r w:rsidR="00D70EC1" w:rsidRPr="00D70EC1">
            <w:instrText xml:space="preserve"> CITATION technical-guidance-annex-b-information-on-quality-premium \l 2057 </w:instrText>
          </w:r>
          <w:r w:rsidR="00D70EC1" w:rsidRPr="00D70EC1">
            <w:fldChar w:fldCharType="separate"/>
          </w:r>
          <w:r w:rsidR="009D5AC8">
            <w:rPr>
              <w:noProof/>
            </w:rPr>
            <w:t xml:space="preserve"> </w:t>
          </w:r>
          <w:r w:rsidR="009D5AC8" w:rsidRPr="009D5AC8">
            <w:rPr>
              <w:noProof/>
            </w:rPr>
            <w:t>[11]</w:t>
          </w:r>
          <w:r w:rsidR="00D70EC1" w:rsidRPr="00D70EC1">
            <w:fldChar w:fldCharType="end"/>
          </w:r>
        </w:sdtContent>
      </w:sdt>
      <w:r w:rsidR="00CF71EB">
        <w:t xml:space="preserve">. </w:t>
      </w:r>
      <w:r w:rsidR="00CD4762">
        <w:t>These d</w:t>
      </w:r>
      <w:r w:rsidR="006C7980" w:rsidRPr="00D70EC1">
        <w:t>ata</w:t>
      </w:r>
      <w:r w:rsidR="00CD4762">
        <w:t xml:space="preserve"> </w:t>
      </w:r>
      <w:r w:rsidR="00D70EC1" w:rsidRPr="00D70EC1">
        <w:t>are</w:t>
      </w:r>
      <w:r w:rsidR="006C7980" w:rsidRPr="00D70EC1">
        <w:t xml:space="preserve"> corrected for population structure by including the number of antibacterial items per STAR-PU (Specific Therapeutic group</w:t>
      </w:r>
      <w:r w:rsidR="00D70EC1">
        <w:t xml:space="preserve"> Age-sex Related Prescribing Un</w:t>
      </w:r>
      <w:r w:rsidR="006C7980" w:rsidRPr="00D70EC1">
        <w:t xml:space="preserve">its), an age and sex weighted prescribing unit based on </w:t>
      </w:r>
      <w:r w:rsidR="00D35BBA">
        <w:t xml:space="preserve">GP </w:t>
      </w:r>
      <w:r w:rsidR="006C7980" w:rsidRPr="00D70EC1">
        <w:t>registered population</w:t>
      </w:r>
      <w:r w:rsidR="00D70EC1" w:rsidRPr="00D70EC1">
        <w:t>.</w:t>
      </w:r>
      <w:r w:rsidR="00C86D59">
        <w:t xml:space="preserve">  T-tests were used to test for a difference between the </w:t>
      </w:r>
      <w:r w:rsidR="00C86D59">
        <w:lastRenderedPageBreak/>
        <w:t xml:space="preserve">CCGs, </w:t>
      </w:r>
      <w:r w:rsidR="009953E1">
        <w:t>HV and ENH</w:t>
      </w:r>
      <w:r w:rsidR="00C86D59">
        <w:t xml:space="preserve"> individually and </w:t>
      </w:r>
      <w:r w:rsidR="009953E1">
        <w:t xml:space="preserve">then </w:t>
      </w:r>
      <w:r w:rsidR="00C86D59">
        <w:t>combined</w:t>
      </w:r>
      <w:r w:rsidR="000E0444">
        <w:t>, after checking the appropriate statistical assumptions were met.</w:t>
      </w:r>
    </w:p>
    <w:p w14:paraId="2F915052" w14:textId="77777777" w:rsidR="00251A4E" w:rsidRDefault="00251A4E" w:rsidP="004970CA"/>
    <w:p w14:paraId="74C32491" w14:textId="77777777" w:rsidR="00FF3675" w:rsidRPr="004970CA" w:rsidRDefault="00FF3675" w:rsidP="004970CA">
      <w:pPr>
        <w:rPr>
          <w:b/>
        </w:rPr>
      </w:pPr>
      <w:r w:rsidRPr="004970CA">
        <w:rPr>
          <w:b/>
        </w:rPr>
        <w:t>RESULTS</w:t>
      </w:r>
    </w:p>
    <w:p w14:paraId="7D5EB327" w14:textId="6FBF6ECF" w:rsidR="00166439" w:rsidRDefault="00AB7080" w:rsidP="00561B00">
      <w:r>
        <w:t xml:space="preserve">Data from </w:t>
      </w:r>
      <w:r w:rsidR="001A7B35">
        <w:t xml:space="preserve">all </w:t>
      </w:r>
      <w:r>
        <w:t xml:space="preserve">122 practices across </w:t>
      </w:r>
      <w:r w:rsidR="001A7B35">
        <w:t xml:space="preserve">the 2 CCGs in </w:t>
      </w:r>
      <w:r>
        <w:t xml:space="preserve">Hertfordshire were collected. Fifty-five </w:t>
      </w:r>
      <w:r w:rsidR="001A7B35">
        <w:t xml:space="preserve">practices </w:t>
      </w:r>
      <w:r>
        <w:t xml:space="preserve">from East and North Hertfordshire CCG (ENHCCH) 67 from Herts Valleys CCG (HVCCG). Seventeen (31%) of the 55 practices in ENHCCG have a clinical pharmacist and 12 (18%) </w:t>
      </w:r>
      <w:r w:rsidR="00BB6B2B">
        <w:t xml:space="preserve">of the HVCCG practices have a </w:t>
      </w:r>
      <w:r w:rsidR="004B0009">
        <w:t xml:space="preserve">clinical pharmacist. </w:t>
      </w:r>
    </w:p>
    <w:tbl>
      <w:tblPr>
        <w:tblW w:w="9600" w:type="dxa"/>
        <w:tblCellMar>
          <w:left w:w="0" w:type="dxa"/>
          <w:right w:w="0" w:type="dxa"/>
        </w:tblCellMar>
        <w:tblLook w:val="04A0" w:firstRow="1" w:lastRow="0" w:firstColumn="1" w:lastColumn="0" w:noHBand="0" w:noVBand="1"/>
      </w:tblPr>
      <w:tblGrid>
        <w:gridCol w:w="1427"/>
        <w:gridCol w:w="1240"/>
        <w:gridCol w:w="580"/>
        <w:gridCol w:w="1185"/>
        <w:gridCol w:w="555"/>
        <w:gridCol w:w="1169"/>
        <w:gridCol w:w="1320"/>
        <w:gridCol w:w="960"/>
        <w:gridCol w:w="1164"/>
      </w:tblGrid>
      <w:tr w:rsidR="00C86D59" w14:paraId="005203D0" w14:textId="77777777" w:rsidTr="007C49C5">
        <w:trPr>
          <w:trHeight w:val="170"/>
        </w:trPr>
        <w:tc>
          <w:tcPr>
            <w:tcW w:w="1427" w:type="dxa"/>
            <w:tcBorders>
              <w:top w:val="single" w:sz="8" w:space="0" w:color="auto"/>
              <w:left w:val="single" w:sz="8" w:space="0" w:color="auto"/>
              <w:bottom w:val="nil"/>
              <w:right w:val="nil"/>
            </w:tcBorders>
            <w:shd w:val="clear" w:color="auto" w:fill="BFBFBF"/>
            <w:noWrap/>
            <w:tcMar>
              <w:top w:w="0" w:type="dxa"/>
              <w:left w:w="108" w:type="dxa"/>
              <w:bottom w:w="0" w:type="dxa"/>
              <w:right w:w="108" w:type="dxa"/>
            </w:tcMar>
            <w:vAlign w:val="center"/>
            <w:hideMark/>
          </w:tcPr>
          <w:p w14:paraId="350BCF56" w14:textId="77777777" w:rsidR="00C86D59" w:rsidRDefault="00C86D59" w:rsidP="00FF3CB4">
            <w:pPr>
              <w:spacing w:after="0" w:line="240" w:lineRule="auto"/>
              <w:rPr>
                <w:b/>
                <w:bCs/>
                <w:lang w:eastAsia="en-GB"/>
              </w:rPr>
            </w:pPr>
            <w:r>
              <w:rPr>
                <w:b/>
                <w:bCs/>
                <w:lang w:eastAsia="en-GB"/>
              </w:rPr>
              <w:t> </w:t>
            </w:r>
          </w:p>
        </w:tc>
        <w:tc>
          <w:tcPr>
            <w:tcW w:w="1820" w:type="dxa"/>
            <w:gridSpan w:val="2"/>
            <w:tcBorders>
              <w:top w:val="single" w:sz="8" w:space="0" w:color="auto"/>
              <w:left w:val="single" w:sz="8" w:space="0" w:color="auto"/>
              <w:bottom w:val="nil"/>
              <w:right w:val="single" w:sz="8" w:space="0" w:color="000000"/>
            </w:tcBorders>
            <w:shd w:val="clear" w:color="auto" w:fill="BFBFBF"/>
            <w:noWrap/>
            <w:tcMar>
              <w:top w:w="0" w:type="dxa"/>
              <w:left w:w="108" w:type="dxa"/>
              <w:bottom w:w="0" w:type="dxa"/>
              <w:right w:w="108" w:type="dxa"/>
            </w:tcMar>
            <w:vAlign w:val="center"/>
            <w:hideMark/>
          </w:tcPr>
          <w:p w14:paraId="211DECF0" w14:textId="77777777" w:rsidR="00C86D59" w:rsidRDefault="00C86D59" w:rsidP="00FF3CB4">
            <w:pPr>
              <w:spacing w:after="0" w:line="240" w:lineRule="auto"/>
              <w:jc w:val="center"/>
              <w:rPr>
                <w:b/>
                <w:bCs/>
                <w:lang w:eastAsia="en-GB"/>
              </w:rPr>
            </w:pPr>
            <w:r>
              <w:rPr>
                <w:b/>
                <w:bCs/>
                <w:lang w:eastAsia="en-GB"/>
              </w:rPr>
              <w:t>With CP</w:t>
            </w:r>
          </w:p>
        </w:tc>
        <w:tc>
          <w:tcPr>
            <w:tcW w:w="1740" w:type="dxa"/>
            <w:gridSpan w:val="2"/>
            <w:tcBorders>
              <w:top w:val="single" w:sz="8" w:space="0" w:color="auto"/>
              <w:left w:val="nil"/>
              <w:bottom w:val="nil"/>
              <w:right w:val="single" w:sz="8" w:space="0" w:color="000000"/>
            </w:tcBorders>
            <w:shd w:val="clear" w:color="auto" w:fill="BFBFBF"/>
            <w:noWrap/>
            <w:tcMar>
              <w:top w:w="0" w:type="dxa"/>
              <w:left w:w="108" w:type="dxa"/>
              <w:bottom w:w="0" w:type="dxa"/>
              <w:right w:w="108" w:type="dxa"/>
            </w:tcMar>
            <w:vAlign w:val="center"/>
            <w:hideMark/>
          </w:tcPr>
          <w:p w14:paraId="14176CBC" w14:textId="77777777" w:rsidR="00C86D59" w:rsidRDefault="00C86D59" w:rsidP="00FF3CB4">
            <w:pPr>
              <w:spacing w:after="0" w:line="240" w:lineRule="auto"/>
              <w:jc w:val="center"/>
              <w:rPr>
                <w:b/>
                <w:bCs/>
                <w:lang w:eastAsia="en-GB"/>
              </w:rPr>
            </w:pPr>
            <w:r>
              <w:rPr>
                <w:b/>
                <w:bCs/>
                <w:lang w:eastAsia="en-GB"/>
              </w:rPr>
              <w:t>Without CP</w:t>
            </w:r>
          </w:p>
        </w:tc>
        <w:tc>
          <w:tcPr>
            <w:tcW w:w="1169" w:type="dxa"/>
            <w:vMerge w:val="restart"/>
            <w:tcBorders>
              <w:top w:val="single" w:sz="8" w:space="0" w:color="auto"/>
              <w:left w:val="nil"/>
              <w:bottom w:val="single" w:sz="8" w:space="0" w:color="000000"/>
              <w:right w:val="nil"/>
            </w:tcBorders>
            <w:shd w:val="clear" w:color="auto" w:fill="BFBFBF"/>
            <w:tcMar>
              <w:top w:w="0" w:type="dxa"/>
              <w:left w:w="108" w:type="dxa"/>
              <w:bottom w:w="0" w:type="dxa"/>
              <w:right w:w="108" w:type="dxa"/>
            </w:tcMar>
            <w:vAlign w:val="center"/>
            <w:hideMark/>
          </w:tcPr>
          <w:p w14:paraId="61B32EF4" w14:textId="77777777" w:rsidR="00C86D59" w:rsidRDefault="00C86D59" w:rsidP="00FF3CB4">
            <w:pPr>
              <w:spacing w:after="0" w:line="240" w:lineRule="auto"/>
              <w:jc w:val="center"/>
              <w:rPr>
                <w:b/>
                <w:bCs/>
                <w:lang w:eastAsia="en-GB"/>
              </w:rPr>
            </w:pPr>
            <w:r>
              <w:rPr>
                <w:b/>
                <w:bCs/>
                <w:lang w:eastAsia="en-GB"/>
              </w:rPr>
              <w:t>Items Difference</w:t>
            </w:r>
          </w:p>
        </w:tc>
        <w:tc>
          <w:tcPr>
            <w:tcW w:w="1320" w:type="dxa"/>
            <w:vMerge w:val="restart"/>
            <w:tcBorders>
              <w:top w:val="single" w:sz="8" w:space="0" w:color="auto"/>
              <w:left w:val="nil"/>
              <w:bottom w:val="single" w:sz="8" w:space="0" w:color="000000"/>
              <w:right w:val="nil"/>
            </w:tcBorders>
            <w:shd w:val="clear" w:color="auto" w:fill="BFBFBF"/>
            <w:noWrap/>
            <w:tcMar>
              <w:top w:w="0" w:type="dxa"/>
              <w:left w:w="108" w:type="dxa"/>
              <w:bottom w:w="0" w:type="dxa"/>
              <w:right w:w="108" w:type="dxa"/>
            </w:tcMar>
            <w:vAlign w:val="center"/>
            <w:hideMark/>
          </w:tcPr>
          <w:p w14:paraId="321D2B7F" w14:textId="77777777" w:rsidR="00C86D59" w:rsidRPr="00561B00" w:rsidRDefault="00C86D59" w:rsidP="00FF3CB4">
            <w:pPr>
              <w:spacing w:after="0" w:line="240" w:lineRule="auto"/>
              <w:jc w:val="center"/>
              <w:rPr>
                <w:b/>
                <w:bCs/>
                <w:i/>
                <w:lang w:eastAsia="en-GB"/>
              </w:rPr>
            </w:pPr>
            <w:r w:rsidRPr="00561B00">
              <w:rPr>
                <w:b/>
                <w:bCs/>
                <w:i/>
                <w:lang w:eastAsia="en-GB"/>
              </w:rPr>
              <w:t>95% CI</w:t>
            </w:r>
          </w:p>
        </w:tc>
        <w:tc>
          <w:tcPr>
            <w:tcW w:w="960" w:type="dxa"/>
            <w:vMerge w:val="restart"/>
            <w:tcBorders>
              <w:top w:val="single" w:sz="8" w:space="0" w:color="auto"/>
              <w:left w:val="nil"/>
              <w:bottom w:val="single" w:sz="8" w:space="0" w:color="000000"/>
              <w:right w:val="single" w:sz="8" w:space="0" w:color="auto"/>
            </w:tcBorders>
            <w:shd w:val="clear" w:color="auto" w:fill="BFBFBF"/>
            <w:noWrap/>
            <w:tcMar>
              <w:top w:w="0" w:type="dxa"/>
              <w:left w:w="108" w:type="dxa"/>
              <w:bottom w:w="0" w:type="dxa"/>
              <w:right w:w="108" w:type="dxa"/>
            </w:tcMar>
            <w:vAlign w:val="center"/>
            <w:hideMark/>
          </w:tcPr>
          <w:p w14:paraId="241A6D59" w14:textId="77777777" w:rsidR="00C86D59" w:rsidRDefault="00C86D59" w:rsidP="00FF3CB4">
            <w:pPr>
              <w:spacing w:after="0" w:line="240" w:lineRule="auto"/>
              <w:jc w:val="center"/>
              <w:rPr>
                <w:b/>
                <w:bCs/>
                <w:lang w:eastAsia="en-GB"/>
              </w:rPr>
            </w:pPr>
            <w:r>
              <w:rPr>
                <w:b/>
                <w:bCs/>
                <w:lang w:eastAsia="en-GB"/>
              </w:rPr>
              <w:t>p-value</w:t>
            </w:r>
          </w:p>
        </w:tc>
        <w:tc>
          <w:tcPr>
            <w:tcW w:w="1164" w:type="dxa"/>
            <w:vMerge w:val="restart"/>
            <w:tcBorders>
              <w:top w:val="single" w:sz="8" w:space="0" w:color="auto"/>
              <w:left w:val="nil"/>
              <w:bottom w:val="single" w:sz="8" w:space="0" w:color="000000"/>
              <w:right w:val="single" w:sz="8" w:space="0" w:color="auto"/>
            </w:tcBorders>
            <w:shd w:val="clear" w:color="auto" w:fill="BFBFBF"/>
            <w:noWrap/>
            <w:tcMar>
              <w:top w:w="0" w:type="dxa"/>
              <w:left w:w="108" w:type="dxa"/>
              <w:bottom w:w="0" w:type="dxa"/>
              <w:right w:w="108" w:type="dxa"/>
            </w:tcMar>
            <w:vAlign w:val="center"/>
            <w:hideMark/>
          </w:tcPr>
          <w:p w14:paraId="24E1AA61" w14:textId="77777777" w:rsidR="00C86D59" w:rsidRDefault="00C86D59" w:rsidP="00FF3CB4">
            <w:pPr>
              <w:spacing w:after="0" w:line="240" w:lineRule="auto"/>
              <w:jc w:val="center"/>
              <w:rPr>
                <w:b/>
                <w:bCs/>
                <w:lang w:eastAsia="en-GB"/>
              </w:rPr>
            </w:pPr>
            <w:r>
              <w:rPr>
                <w:b/>
                <w:bCs/>
                <w:lang w:eastAsia="en-GB"/>
              </w:rPr>
              <w:t>Power</w:t>
            </w:r>
          </w:p>
        </w:tc>
      </w:tr>
      <w:tr w:rsidR="00C86D59" w14:paraId="783FC40F" w14:textId="77777777" w:rsidTr="007C49C5">
        <w:trPr>
          <w:trHeight w:val="170"/>
        </w:trPr>
        <w:tc>
          <w:tcPr>
            <w:tcW w:w="1427" w:type="dxa"/>
            <w:tcBorders>
              <w:top w:val="nil"/>
              <w:left w:val="single" w:sz="8" w:space="0" w:color="auto"/>
              <w:bottom w:val="single" w:sz="8" w:space="0" w:color="auto"/>
              <w:right w:val="nil"/>
            </w:tcBorders>
            <w:shd w:val="clear" w:color="auto" w:fill="BFBFBF"/>
            <w:noWrap/>
            <w:tcMar>
              <w:top w:w="0" w:type="dxa"/>
              <w:left w:w="108" w:type="dxa"/>
              <w:bottom w:w="0" w:type="dxa"/>
              <w:right w:w="108" w:type="dxa"/>
            </w:tcMar>
            <w:vAlign w:val="center"/>
            <w:hideMark/>
          </w:tcPr>
          <w:p w14:paraId="6568FB5B" w14:textId="77777777" w:rsidR="00C86D59" w:rsidRDefault="00C86D59" w:rsidP="00FF3CB4">
            <w:pPr>
              <w:spacing w:after="0" w:line="240" w:lineRule="auto"/>
              <w:rPr>
                <w:b/>
                <w:bCs/>
                <w:lang w:eastAsia="en-GB"/>
              </w:rPr>
            </w:pPr>
            <w:r>
              <w:rPr>
                <w:b/>
                <w:bCs/>
                <w:lang w:eastAsia="en-GB"/>
              </w:rPr>
              <w:t> </w:t>
            </w:r>
          </w:p>
        </w:tc>
        <w:tc>
          <w:tcPr>
            <w:tcW w:w="1240" w:type="dxa"/>
            <w:tcBorders>
              <w:top w:val="nil"/>
              <w:left w:val="single" w:sz="8" w:space="0" w:color="auto"/>
              <w:bottom w:val="single" w:sz="8" w:space="0" w:color="auto"/>
              <w:right w:val="nil"/>
            </w:tcBorders>
            <w:shd w:val="clear" w:color="auto" w:fill="D9D9D9"/>
            <w:noWrap/>
            <w:tcMar>
              <w:top w:w="0" w:type="dxa"/>
              <w:left w:w="108" w:type="dxa"/>
              <w:bottom w:w="0" w:type="dxa"/>
              <w:right w:w="108" w:type="dxa"/>
            </w:tcMar>
            <w:vAlign w:val="center"/>
            <w:hideMark/>
          </w:tcPr>
          <w:p w14:paraId="077FC621" w14:textId="77777777" w:rsidR="00C86D59" w:rsidRDefault="00C86D59" w:rsidP="00FF3CB4">
            <w:pPr>
              <w:spacing w:after="0" w:line="240" w:lineRule="auto"/>
              <w:jc w:val="center"/>
              <w:rPr>
                <w:b/>
                <w:bCs/>
                <w:lang w:eastAsia="en-GB"/>
              </w:rPr>
            </w:pPr>
            <w:r>
              <w:rPr>
                <w:b/>
                <w:bCs/>
                <w:lang w:eastAsia="en-GB"/>
              </w:rPr>
              <w:t>Items</w:t>
            </w:r>
          </w:p>
        </w:tc>
        <w:tc>
          <w:tcPr>
            <w:tcW w:w="5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BE08959" w14:textId="77777777" w:rsidR="00C86D59" w:rsidRDefault="00C86D59" w:rsidP="00FF3CB4">
            <w:pPr>
              <w:spacing w:after="0" w:line="240" w:lineRule="auto"/>
              <w:jc w:val="center"/>
              <w:rPr>
                <w:b/>
                <w:bCs/>
                <w:lang w:eastAsia="en-GB"/>
              </w:rPr>
            </w:pPr>
            <w:r>
              <w:rPr>
                <w:b/>
                <w:bCs/>
                <w:lang w:eastAsia="en-GB"/>
              </w:rPr>
              <w:t>N</w:t>
            </w:r>
          </w:p>
        </w:tc>
        <w:tc>
          <w:tcPr>
            <w:tcW w:w="1185" w:type="dxa"/>
            <w:tcBorders>
              <w:top w:val="nil"/>
              <w:left w:val="nil"/>
              <w:bottom w:val="single" w:sz="8" w:space="0" w:color="auto"/>
              <w:right w:val="nil"/>
            </w:tcBorders>
            <w:shd w:val="clear" w:color="auto" w:fill="D9D9D9"/>
            <w:noWrap/>
            <w:tcMar>
              <w:top w:w="0" w:type="dxa"/>
              <w:left w:w="108" w:type="dxa"/>
              <w:bottom w:w="0" w:type="dxa"/>
              <w:right w:w="108" w:type="dxa"/>
            </w:tcMar>
            <w:vAlign w:val="center"/>
            <w:hideMark/>
          </w:tcPr>
          <w:p w14:paraId="0001FF5E" w14:textId="77777777" w:rsidR="00C86D59" w:rsidRDefault="00C86D59" w:rsidP="00FF3CB4">
            <w:pPr>
              <w:spacing w:after="0" w:line="240" w:lineRule="auto"/>
              <w:jc w:val="center"/>
              <w:rPr>
                <w:b/>
                <w:bCs/>
                <w:lang w:eastAsia="en-GB"/>
              </w:rPr>
            </w:pPr>
            <w:r>
              <w:rPr>
                <w:b/>
                <w:bCs/>
                <w:lang w:eastAsia="en-GB"/>
              </w:rPr>
              <w:t>Items</w:t>
            </w:r>
          </w:p>
        </w:tc>
        <w:tc>
          <w:tcPr>
            <w:tcW w:w="55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7AE5911" w14:textId="26640FDB" w:rsidR="00C86D59" w:rsidRDefault="00561B00" w:rsidP="00FF3CB4">
            <w:pPr>
              <w:spacing w:after="0" w:line="240" w:lineRule="auto"/>
              <w:jc w:val="center"/>
              <w:rPr>
                <w:b/>
                <w:bCs/>
                <w:lang w:eastAsia="en-GB"/>
              </w:rPr>
            </w:pPr>
            <w:r>
              <w:rPr>
                <w:b/>
                <w:bCs/>
                <w:lang w:eastAsia="en-GB"/>
              </w:rPr>
              <w:t>N</w:t>
            </w:r>
          </w:p>
        </w:tc>
        <w:tc>
          <w:tcPr>
            <w:tcW w:w="0" w:type="auto"/>
            <w:vMerge/>
            <w:tcBorders>
              <w:top w:val="single" w:sz="8" w:space="0" w:color="auto"/>
              <w:left w:val="nil"/>
              <w:bottom w:val="single" w:sz="8" w:space="0" w:color="000000"/>
              <w:right w:val="nil"/>
            </w:tcBorders>
            <w:vAlign w:val="center"/>
            <w:hideMark/>
          </w:tcPr>
          <w:p w14:paraId="269BC98E" w14:textId="77777777" w:rsidR="00C86D59" w:rsidRDefault="00C86D59" w:rsidP="00FF3CB4">
            <w:pPr>
              <w:spacing w:after="0" w:line="240" w:lineRule="auto"/>
              <w:rPr>
                <w:rFonts w:ascii="Calibri" w:hAnsi="Calibri" w:cs="Calibri"/>
                <w:b/>
                <w:bCs/>
                <w:lang w:eastAsia="en-GB"/>
              </w:rPr>
            </w:pPr>
          </w:p>
        </w:tc>
        <w:tc>
          <w:tcPr>
            <w:tcW w:w="0" w:type="auto"/>
            <w:vMerge/>
            <w:tcBorders>
              <w:top w:val="single" w:sz="8" w:space="0" w:color="auto"/>
              <w:left w:val="nil"/>
              <w:bottom w:val="single" w:sz="8" w:space="0" w:color="000000"/>
              <w:right w:val="nil"/>
            </w:tcBorders>
            <w:vAlign w:val="center"/>
            <w:hideMark/>
          </w:tcPr>
          <w:p w14:paraId="41900EE6" w14:textId="77777777" w:rsidR="00C86D59" w:rsidRPr="00561B00" w:rsidRDefault="00C86D59" w:rsidP="00FF3CB4">
            <w:pPr>
              <w:spacing w:after="0" w:line="240" w:lineRule="auto"/>
              <w:rPr>
                <w:rFonts w:ascii="Calibri" w:hAnsi="Calibri" w:cs="Calibri"/>
                <w:b/>
                <w:bCs/>
                <w:i/>
                <w:lang w:eastAsia="en-GB"/>
              </w:rPr>
            </w:pPr>
          </w:p>
        </w:tc>
        <w:tc>
          <w:tcPr>
            <w:tcW w:w="0" w:type="auto"/>
            <w:vMerge/>
            <w:tcBorders>
              <w:top w:val="single" w:sz="8" w:space="0" w:color="auto"/>
              <w:left w:val="nil"/>
              <w:bottom w:val="single" w:sz="8" w:space="0" w:color="000000"/>
              <w:right w:val="single" w:sz="8" w:space="0" w:color="auto"/>
            </w:tcBorders>
            <w:vAlign w:val="center"/>
            <w:hideMark/>
          </w:tcPr>
          <w:p w14:paraId="4E985DE1" w14:textId="77777777" w:rsidR="00C86D59" w:rsidRDefault="00C86D59" w:rsidP="00FF3CB4">
            <w:pPr>
              <w:spacing w:after="0" w:line="240" w:lineRule="auto"/>
              <w:rPr>
                <w:rFonts w:ascii="Calibri" w:hAnsi="Calibri" w:cs="Calibri"/>
                <w:b/>
                <w:bCs/>
                <w:lang w:eastAsia="en-GB"/>
              </w:rPr>
            </w:pPr>
          </w:p>
        </w:tc>
        <w:tc>
          <w:tcPr>
            <w:tcW w:w="0" w:type="auto"/>
            <w:vMerge/>
            <w:tcBorders>
              <w:top w:val="single" w:sz="8" w:space="0" w:color="auto"/>
              <w:left w:val="nil"/>
              <w:bottom w:val="single" w:sz="8" w:space="0" w:color="000000"/>
              <w:right w:val="single" w:sz="8" w:space="0" w:color="auto"/>
            </w:tcBorders>
            <w:vAlign w:val="center"/>
            <w:hideMark/>
          </w:tcPr>
          <w:p w14:paraId="46564FCA" w14:textId="77777777" w:rsidR="00C86D59" w:rsidRDefault="00C86D59" w:rsidP="00FF3CB4">
            <w:pPr>
              <w:spacing w:after="0" w:line="240" w:lineRule="auto"/>
              <w:rPr>
                <w:rFonts w:ascii="Calibri" w:hAnsi="Calibri" w:cs="Calibri"/>
                <w:b/>
                <w:bCs/>
                <w:lang w:eastAsia="en-GB"/>
              </w:rPr>
            </w:pPr>
          </w:p>
        </w:tc>
      </w:tr>
      <w:tr w:rsidR="00C86D59" w14:paraId="7EF51F0D" w14:textId="77777777" w:rsidTr="007C49C5">
        <w:trPr>
          <w:trHeight w:val="170"/>
        </w:trPr>
        <w:tc>
          <w:tcPr>
            <w:tcW w:w="1427" w:type="dxa"/>
            <w:tcBorders>
              <w:top w:val="nil"/>
              <w:left w:val="single" w:sz="8" w:space="0" w:color="auto"/>
              <w:bottom w:val="nil"/>
              <w:right w:val="nil"/>
            </w:tcBorders>
            <w:noWrap/>
            <w:tcMar>
              <w:top w:w="0" w:type="dxa"/>
              <w:left w:w="108" w:type="dxa"/>
              <w:bottom w:w="0" w:type="dxa"/>
              <w:right w:w="108" w:type="dxa"/>
            </w:tcMar>
            <w:vAlign w:val="center"/>
            <w:hideMark/>
          </w:tcPr>
          <w:p w14:paraId="41515ED2" w14:textId="77777777" w:rsidR="00C86D59" w:rsidRDefault="00C86D59" w:rsidP="00FF3CB4">
            <w:pPr>
              <w:spacing w:after="0" w:line="240" w:lineRule="auto"/>
              <w:rPr>
                <w:lang w:eastAsia="en-GB"/>
              </w:rPr>
            </w:pPr>
            <w:r>
              <w:rPr>
                <w:lang w:eastAsia="en-GB"/>
              </w:rPr>
              <w:t>ENHCCG</w:t>
            </w:r>
          </w:p>
        </w:tc>
        <w:tc>
          <w:tcPr>
            <w:tcW w:w="1240" w:type="dxa"/>
            <w:tcBorders>
              <w:top w:val="nil"/>
              <w:left w:val="single" w:sz="8" w:space="0" w:color="auto"/>
              <w:bottom w:val="nil"/>
              <w:right w:val="nil"/>
            </w:tcBorders>
            <w:noWrap/>
            <w:tcMar>
              <w:top w:w="0" w:type="dxa"/>
              <w:left w:w="108" w:type="dxa"/>
              <w:bottom w:w="0" w:type="dxa"/>
              <w:right w:w="108" w:type="dxa"/>
            </w:tcMar>
            <w:vAlign w:val="center"/>
            <w:hideMark/>
          </w:tcPr>
          <w:p w14:paraId="69AF835D" w14:textId="77777777" w:rsidR="00C86D59" w:rsidRDefault="00C86D59" w:rsidP="00FF3CB4">
            <w:pPr>
              <w:spacing w:after="0" w:line="240" w:lineRule="auto"/>
              <w:jc w:val="center"/>
              <w:rPr>
                <w:lang w:eastAsia="en-GB"/>
              </w:rPr>
            </w:pPr>
            <w:r>
              <w:rPr>
                <w:lang w:eastAsia="en-GB"/>
              </w:rPr>
              <w:t>0.943</w:t>
            </w:r>
          </w:p>
        </w:tc>
        <w:tc>
          <w:tcPr>
            <w:tcW w:w="580" w:type="dxa"/>
            <w:tcBorders>
              <w:top w:val="nil"/>
              <w:left w:val="nil"/>
              <w:bottom w:val="nil"/>
              <w:right w:val="single" w:sz="8" w:space="0" w:color="auto"/>
            </w:tcBorders>
            <w:noWrap/>
            <w:tcMar>
              <w:top w:w="0" w:type="dxa"/>
              <w:left w:w="108" w:type="dxa"/>
              <w:bottom w:w="0" w:type="dxa"/>
              <w:right w:w="108" w:type="dxa"/>
            </w:tcMar>
            <w:vAlign w:val="center"/>
            <w:hideMark/>
          </w:tcPr>
          <w:p w14:paraId="0D4F8844" w14:textId="77777777" w:rsidR="00C86D59" w:rsidRDefault="00C86D59" w:rsidP="00FF3CB4">
            <w:pPr>
              <w:spacing w:after="0" w:line="240" w:lineRule="auto"/>
              <w:jc w:val="center"/>
              <w:rPr>
                <w:lang w:eastAsia="en-GB"/>
              </w:rPr>
            </w:pPr>
            <w:r>
              <w:rPr>
                <w:lang w:eastAsia="en-GB"/>
              </w:rPr>
              <w:t>17</w:t>
            </w:r>
          </w:p>
        </w:tc>
        <w:tc>
          <w:tcPr>
            <w:tcW w:w="1185" w:type="dxa"/>
            <w:noWrap/>
            <w:tcMar>
              <w:top w:w="0" w:type="dxa"/>
              <w:left w:w="108" w:type="dxa"/>
              <w:bottom w:w="0" w:type="dxa"/>
              <w:right w:w="108" w:type="dxa"/>
            </w:tcMar>
            <w:vAlign w:val="center"/>
            <w:hideMark/>
          </w:tcPr>
          <w:p w14:paraId="3F2B4762" w14:textId="77777777" w:rsidR="00C86D59" w:rsidRDefault="00C86D59" w:rsidP="00FF3CB4">
            <w:pPr>
              <w:spacing w:after="0" w:line="240" w:lineRule="auto"/>
              <w:jc w:val="center"/>
              <w:rPr>
                <w:lang w:eastAsia="en-GB"/>
              </w:rPr>
            </w:pPr>
            <w:r>
              <w:rPr>
                <w:lang w:eastAsia="en-GB"/>
              </w:rPr>
              <w:t>0.964</w:t>
            </w:r>
          </w:p>
        </w:tc>
        <w:tc>
          <w:tcPr>
            <w:tcW w:w="555" w:type="dxa"/>
            <w:tcBorders>
              <w:top w:val="nil"/>
              <w:left w:val="nil"/>
              <w:bottom w:val="nil"/>
              <w:right w:val="single" w:sz="8" w:space="0" w:color="auto"/>
            </w:tcBorders>
            <w:noWrap/>
            <w:tcMar>
              <w:top w:w="0" w:type="dxa"/>
              <w:left w:w="108" w:type="dxa"/>
              <w:bottom w:w="0" w:type="dxa"/>
              <w:right w:w="108" w:type="dxa"/>
            </w:tcMar>
            <w:vAlign w:val="center"/>
            <w:hideMark/>
          </w:tcPr>
          <w:p w14:paraId="7A5E5AA8" w14:textId="77777777" w:rsidR="00C86D59" w:rsidRDefault="00C86D59" w:rsidP="00FF3CB4">
            <w:pPr>
              <w:spacing w:after="0" w:line="240" w:lineRule="auto"/>
              <w:jc w:val="center"/>
              <w:rPr>
                <w:lang w:eastAsia="en-GB"/>
              </w:rPr>
            </w:pPr>
            <w:r>
              <w:rPr>
                <w:lang w:eastAsia="en-GB"/>
              </w:rPr>
              <w:t>38</w:t>
            </w:r>
          </w:p>
        </w:tc>
        <w:tc>
          <w:tcPr>
            <w:tcW w:w="1169" w:type="dxa"/>
            <w:noWrap/>
            <w:tcMar>
              <w:top w:w="0" w:type="dxa"/>
              <w:left w:w="108" w:type="dxa"/>
              <w:bottom w:w="0" w:type="dxa"/>
              <w:right w:w="108" w:type="dxa"/>
            </w:tcMar>
            <w:vAlign w:val="center"/>
            <w:hideMark/>
          </w:tcPr>
          <w:p w14:paraId="10C8D9FE" w14:textId="77777777" w:rsidR="00C86D59" w:rsidRDefault="00C86D59" w:rsidP="00FF3CB4">
            <w:pPr>
              <w:spacing w:after="0" w:line="240" w:lineRule="auto"/>
              <w:jc w:val="center"/>
              <w:rPr>
                <w:lang w:eastAsia="en-GB"/>
              </w:rPr>
            </w:pPr>
            <w:r>
              <w:rPr>
                <w:lang w:eastAsia="en-GB"/>
              </w:rPr>
              <w:t>0.021</w:t>
            </w:r>
          </w:p>
        </w:tc>
        <w:tc>
          <w:tcPr>
            <w:tcW w:w="1320" w:type="dxa"/>
            <w:noWrap/>
            <w:tcMar>
              <w:top w:w="0" w:type="dxa"/>
              <w:left w:w="108" w:type="dxa"/>
              <w:bottom w:w="0" w:type="dxa"/>
              <w:right w:w="108" w:type="dxa"/>
            </w:tcMar>
            <w:vAlign w:val="center"/>
            <w:hideMark/>
          </w:tcPr>
          <w:p w14:paraId="045F9B9A" w14:textId="77777777" w:rsidR="00C86D59" w:rsidRPr="00561B00" w:rsidRDefault="00C86D59" w:rsidP="00FF3CB4">
            <w:pPr>
              <w:spacing w:after="0" w:line="240" w:lineRule="auto"/>
              <w:jc w:val="center"/>
              <w:rPr>
                <w:i/>
                <w:lang w:eastAsia="en-GB"/>
              </w:rPr>
            </w:pPr>
            <w:r w:rsidRPr="00561B00">
              <w:rPr>
                <w:i/>
                <w:lang w:eastAsia="en-GB"/>
              </w:rPr>
              <w:t>(-0.06, 0.10)</w:t>
            </w:r>
          </w:p>
        </w:tc>
        <w:tc>
          <w:tcPr>
            <w:tcW w:w="960" w:type="dxa"/>
            <w:tcBorders>
              <w:top w:val="nil"/>
              <w:left w:val="nil"/>
              <w:bottom w:val="nil"/>
              <w:right w:val="single" w:sz="8" w:space="0" w:color="auto"/>
            </w:tcBorders>
            <w:noWrap/>
            <w:tcMar>
              <w:top w:w="0" w:type="dxa"/>
              <w:left w:w="108" w:type="dxa"/>
              <w:bottom w:w="0" w:type="dxa"/>
              <w:right w:w="108" w:type="dxa"/>
            </w:tcMar>
            <w:vAlign w:val="center"/>
            <w:hideMark/>
          </w:tcPr>
          <w:p w14:paraId="62E10A81" w14:textId="77777777" w:rsidR="00C86D59" w:rsidRDefault="00C86D59" w:rsidP="00FF3CB4">
            <w:pPr>
              <w:spacing w:after="0" w:line="240" w:lineRule="auto"/>
              <w:jc w:val="center"/>
              <w:rPr>
                <w:lang w:eastAsia="en-GB"/>
              </w:rPr>
            </w:pPr>
            <w:r>
              <w:rPr>
                <w:lang w:eastAsia="en-GB"/>
              </w:rPr>
              <w:t>0.584</w:t>
            </w:r>
          </w:p>
        </w:tc>
        <w:tc>
          <w:tcPr>
            <w:tcW w:w="1164" w:type="dxa"/>
            <w:tcBorders>
              <w:top w:val="nil"/>
              <w:left w:val="nil"/>
              <w:bottom w:val="nil"/>
              <w:right w:val="single" w:sz="8" w:space="0" w:color="auto"/>
            </w:tcBorders>
            <w:noWrap/>
            <w:tcMar>
              <w:top w:w="0" w:type="dxa"/>
              <w:left w:w="108" w:type="dxa"/>
              <w:bottom w:w="0" w:type="dxa"/>
              <w:right w:w="108" w:type="dxa"/>
            </w:tcMar>
            <w:vAlign w:val="center"/>
            <w:hideMark/>
          </w:tcPr>
          <w:p w14:paraId="6E5CF377" w14:textId="77777777" w:rsidR="00C86D59" w:rsidRDefault="00C86D59" w:rsidP="00FF3CB4">
            <w:pPr>
              <w:spacing w:after="0" w:line="240" w:lineRule="auto"/>
              <w:jc w:val="center"/>
              <w:rPr>
                <w:lang w:eastAsia="en-GB"/>
              </w:rPr>
            </w:pPr>
            <w:r>
              <w:rPr>
                <w:lang w:eastAsia="en-GB"/>
              </w:rPr>
              <w:t>0.085</w:t>
            </w:r>
          </w:p>
        </w:tc>
      </w:tr>
      <w:tr w:rsidR="00C86D59" w14:paraId="13990A40" w14:textId="77777777" w:rsidTr="007C49C5">
        <w:trPr>
          <w:trHeight w:val="170"/>
        </w:trPr>
        <w:tc>
          <w:tcPr>
            <w:tcW w:w="1427" w:type="dxa"/>
            <w:tcBorders>
              <w:top w:val="nil"/>
              <w:left w:val="single" w:sz="8" w:space="0" w:color="auto"/>
              <w:bottom w:val="nil"/>
              <w:right w:val="nil"/>
            </w:tcBorders>
            <w:noWrap/>
            <w:tcMar>
              <w:top w:w="0" w:type="dxa"/>
              <w:left w:w="108" w:type="dxa"/>
              <w:bottom w:w="0" w:type="dxa"/>
              <w:right w:w="108" w:type="dxa"/>
            </w:tcMar>
            <w:vAlign w:val="center"/>
            <w:hideMark/>
          </w:tcPr>
          <w:p w14:paraId="1CB53B9F" w14:textId="77777777" w:rsidR="00C86D59" w:rsidRDefault="00C86D59" w:rsidP="00FF3CB4">
            <w:pPr>
              <w:spacing w:after="0" w:line="240" w:lineRule="auto"/>
              <w:rPr>
                <w:lang w:eastAsia="en-GB"/>
              </w:rPr>
            </w:pPr>
            <w:r>
              <w:rPr>
                <w:lang w:eastAsia="en-GB"/>
              </w:rPr>
              <w:t>HVCCG</w:t>
            </w:r>
          </w:p>
        </w:tc>
        <w:tc>
          <w:tcPr>
            <w:tcW w:w="1240" w:type="dxa"/>
            <w:tcBorders>
              <w:top w:val="nil"/>
              <w:left w:val="single" w:sz="8" w:space="0" w:color="auto"/>
              <w:bottom w:val="nil"/>
              <w:right w:val="nil"/>
            </w:tcBorders>
            <w:noWrap/>
            <w:tcMar>
              <w:top w:w="0" w:type="dxa"/>
              <w:left w:w="108" w:type="dxa"/>
              <w:bottom w:w="0" w:type="dxa"/>
              <w:right w:w="108" w:type="dxa"/>
            </w:tcMar>
            <w:vAlign w:val="center"/>
            <w:hideMark/>
          </w:tcPr>
          <w:p w14:paraId="6FBD0D03" w14:textId="77777777" w:rsidR="00C86D59" w:rsidRDefault="00C86D59" w:rsidP="00FF3CB4">
            <w:pPr>
              <w:spacing w:after="0" w:line="240" w:lineRule="auto"/>
              <w:jc w:val="center"/>
              <w:rPr>
                <w:lang w:eastAsia="en-GB"/>
              </w:rPr>
            </w:pPr>
            <w:r>
              <w:rPr>
                <w:lang w:eastAsia="en-GB"/>
              </w:rPr>
              <w:t>0.869</w:t>
            </w:r>
          </w:p>
        </w:tc>
        <w:tc>
          <w:tcPr>
            <w:tcW w:w="580" w:type="dxa"/>
            <w:tcBorders>
              <w:top w:val="nil"/>
              <w:left w:val="nil"/>
              <w:bottom w:val="nil"/>
              <w:right w:val="single" w:sz="8" w:space="0" w:color="auto"/>
            </w:tcBorders>
            <w:noWrap/>
            <w:tcMar>
              <w:top w:w="0" w:type="dxa"/>
              <w:left w:w="108" w:type="dxa"/>
              <w:bottom w:w="0" w:type="dxa"/>
              <w:right w:w="108" w:type="dxa"/>
            </w:tcMar>
            <w:vAlign w:val="center"/>
            <w:hideMark/>
          </w:tcPr>
          <w:p w14:paraId="42A92C84" w14:textId="77777777" w:rsidR="00C86D59" w:rsidRDefault="00C86D59" w:rsidP="00FF3CB4">
            <w:pPr>
              <w:spacing w:after="0" w:line="240" w:lineRule="auto"/>
              <w:jc w:val="center"/>
              <w:rPr>
                <w:lang w:eastAsia="en-GB"/>
              </w:rPr>
            </w:pPr>
            <w:r>
              <w:rPr>
                <w:lang w:eastAsia="en-GB"/>
              </w:rPr>
              <w:t>12</w:t>
            </w:r>
          </w:p>
        </w:tc>
        <w:tc>
          <w:tcPr>
            <w:tcW w:w="1185" w:type="dxa"/>
            <w:noWrap/>
            <w:tcMar>
              <w:top w:w="0" w:type="dxa"/>
              <w:left w:w="108" w:type="dxa"/>
              <w:bottom w:w="0" w:type="dxa"/>
              <w:right w:w="108" w:type="dxa"/>
            </w:tcMar>
            <w:vAlign w:val="center"/>
            <w:hideMark/>
          </w:tcPr>
          <w:p w14:paraId="6F1DAAAD" w14:textId="77777777" w:rsidR="00C86D59" w:rsidRDefault="00C86D59" w:rsidP="00FF3CB4">
            <w:pPr>
              <w:spacing w:after="0" w:line="240" w:lineRule="auto"/>
              <w:jc w:val="center"/>
              <w:rPr>
                <w:lang w:eastAsia="en-GB"/>
              </w:rPr>
            </w:pPr>
            <w:r>
              <w:rPr>
                <w:lang w:eastAsia="en-GB"/>
              </w:rPr>
              <w:t>0.942</w:t>
            </w:r>
          </w:p>
        </w:tc>
        <w:tc>
          <w:tcPr>
            <w:tcW w:w="555" w:type="dxa"/>
            <w:tcBorders>
              <w:top w:val="nil"/>
              <w:left w:val="nil"/>
              <w:bottom w:val="nil"/>
              <w:right w:val="single" w:sz="8" w:space="0" w:color="auto"/>
            </w:tcBorders>
            <w:noWrap/>
            <w:tcMar>
              <w:top w:w="0" w:type="dxa"/>
              <w:left w:w="108" w:type="dxa"/>
              <w:bottom w:w="0" w:type="dxa"/>
              <w:right w:w="108" w:type="dxa"/>
            </w:tcMar>
            <w:vAlign w:val="center"/>
            <w:hideMark/>
          </w:tcPr>
          <w:p w14:paraId="6029B02C" w14:textId="77777777" w:rsidR="00C86D59" w:rsidRDefault="00C86D59" w:rsidP="00FF3CB4">
            <w:pPr>
              <w:spacing w:after="0" w:line="240" w:lineRule="auto"/>
              <w:jc w:val="center"/>
              <w:rPr>
                <w:lang w:eastAsia="en-GB"/>
              </w:rPr>
            </w:pPr>
            <w:r>
              <w:rPr>
                <w:lang w:eastAsia="en-GB"/>
              </w:rPr>
              <w:t>55</w:t>
            </w:r>
          </w:p>
        </w:tc>
        <w:tc>
          <w:tcPr>
            <w:tcW w:w="1169" w:type="dxa"/>
            <w:noWrap/>
            <w:tcMar>
              <w:top w:w="0" w:type="dxa"/>
              <w:left w:w="108" w:type="dxa"/>
              <w:bottom w:w="0" w:type="dxa"/>
              <w:right w:w="108" w:type="dxa"/>
            </w:tcMar>
            <w:vAlign w:val="center"/>
            <w:hideMark/>
          </w:tcPr>
          <w:p w14:paraId="3A58759B" w14:textId="77777777" w:rsidR="00C86D59" w:rsidRDefault="00C86D59" w:rsidP="00FF3CB4">
            <w:pPr>
              <w:spacing w:after="0" w:line="240" w:lineRule="auto"/>
              <w:jc w:val="center"/>
              <w:rPr>
                <w:lang w:eastAsia="en-GB"/>
              </w:rPr>
            </w:pPr>
            <w:r>
              <w:rPr>
                <w:lang w:eastAsia="en-GB"/>
              </w:rPr>
              <w:t>0.073</w:t>
            </w:r>
          </w:p>
        </w:tc>
        <w:tc>
          <w:tcPr>
            <w:tcW w:w="1320" w:type="dxa"/>
            <w:noWrap/>
            <w:tcMar>
              <w:top w:w="0" w:type="dxa"/>
              <w:left w:w="108" w:type="dxa"/>
              <w:bottom w:w="0" w:type="dxa"/>
              <w:right w:w="108" w:type="dxa"/>
            </w:tcMar>
            <w:vAlign w:val="center"/>
            <w:hideMark/>
          </w:tcPr>
          <w:p w14:paraId="6EA48B2E" w14:textId="77777777" w:rsidR="00C86D59" w:rsidRDefault="00C86D59" w:rsidP="00FF3CB4">
            <w:pPr>
              <w:spacing w:after="0" w:line="240" w:lineRule="auto"/>
              <w:jc w:val="center"/>
              <w:rPr>
                <w:lang w:eastAsia="en-GB"/>
              </w:rPr>
            </w:pPr>
            <w:r>
              <w:rPr>
                <w:lang w:eastAsia="en-GB"/>
              </w:rPr>
              <w:t>(-0.03, 0.17)</w:t>
            </w:r>
          </w:p>
        </w:tc>
        <w:tc>
          <w:tcPr>
            <w:tcW w:w="960" w:type="dxa"/>
            <w:tcBorders>
              <w:top w:val="nil"/>
              <w:left w:val="nil"/>
              <w:bottom w:val="nil"/>
              <w:right w:val="single" w:sz="8" w:space="0" w:color="auto"/>
            </w:tcBorders>
            <w:noWrap/>
            <w:tcMar>
              <w:top w:w="0" w:type="dxa"/>
              <w:left w:w="108" w:type="dxa"/>
              <w:bottom w:w="0" w:type="dxa"/>
              <w:right w:w="108" w:type="dxa"/>
            </w:tcMar>
            <w:vAlign w:val="center"/>
            <w:hideMark/>
          </w:tcPr>
          <w:p w14:paraId="397C55AD" w14:textId="77777777" w:rsidR="00C86D59" w:rsidRDefault="00C86D59" w:rsidP="00FF3CB4">
            <w:pPr>
              <w:spacing w:after="0" w:line="240" w:lineRule="auto"/>
              <w:jc w:val="center"/>
              <w:rPr>
                <w:lang w:eastAsia="en-GB"/>
              </w:rPr>
            </w:pPr>
            <w:r>
              <w:rPr>
                <w:lang w:eastAsia="en-GB"/>
              </w:rPr>
              <w:t>0.145</w:t>
            </w:r>
          </w:p>
        </w:tc>
        <w:tc>
          <w:tcPr>
            <w:tcW w:w="1164" w:type="dxa"/>
            <w:tcBorders>
              <w:top w:val="nil"/>
              <w:left w:val="nil"/>
              <w:bottom w:val="nil"/>
              <w:right w:val="single" w:sz="8" w:space="0" w:color="auto"/>
            </w:tcBorders>
            <w:noWrap/>
            <w:tcMar>
              <w:top w:w="0" w:type="dxa"/>
              <w:left w:w="108" w:type="dxa"/>
              <w:bottom w:w="0" w:type="dxa"/>
              <w:right w:w="108" w:type="dxa"/>
            </w:tcMar>
            <w:vAlign w:val="center"/>
            <w:hideMark/>
          </w:tcPr>
          <w:p w14:paraId="71EFB253" w14:textId="77777777" w:rsidR="00C86D59" w:rsidRDefault="00C86D59" w:rsidP="00FF3CB4">
            <w:pPr>
              <w:spacing w:after="0" w:line="240" w:lineRule="auto"/>
              <w:jc w:val="center"/>
              <w:rPr>
                <w:lang w:eastAsia="en-GB"/>
              </w:rPr>
            </w:pPr>
            <w:r>
              <w:rPr>
                <w:lang w:eastAsia="en-GB"/>
              </w:rPr>
              <w:t>0.303</w:t>
            </w:r>
          </w:p>
        </w:tc>
      </w:tr>
      <w:tr w:rsidR="00C86D59" w14:paraId="1780D46E" w14:textId="77777777" w:rsidTr="007C49C5">
        <w:trPr>
          <w:trHeight w:val="170"/>
        </w:trPr>
        <w:tc>
          <w:tcPr>
            <w:tcW w:w="1427"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712AE288" w14:textId="77777777" w:rsidR="00C86D59" w:rsidRDefault="00C86D59" w:rsidP="00FF3CB4">
            <w:pPr>
              <w:spacing w:after="0" w:line="240" w:lineRule="auto"/>
              <w:rPr>
                <w:lang w:eastAsia="en-GB"/>
              </w:rPr>
            </w:pPr>
            <w:r>
              <w:rPr>
                <w:lang w:eastAsia="en-GB"/>
              </w:rPr>
              <w:t>Hertfordshire</w:t>
            </w:r>
          </w:p>
        </w:tc>
        <w:tc>
          <w:tcPr>
            <w:tcW w:w="124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15417ED5" w14:textId="77777777" w:rsidR="00C86D59" w:rsidRDefault="00C86D59" w:rsidP="00FF3CB4">
            <w:pPr>
              <w:spacing w:after="0" w:line="240" w:lineRule="auto"/>
              <w:jc w:val="center"/>
              <w:rPr>
                <w:lang w:eastAsia="en-GB"/>
              </w:rPr>
            </w:pPr>
            <w:r>
              <w:rPr>
                <w:lang w:eastAsia="en-GB"/>
              </w:rPr>
              <w:t>0.912</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AB7BF0" w14:textId="77777777" w:rsidR="00C86D59" w:rsidRDefault="00C86D59" w:rsidP="00FF3CB4">
            <w:pPr>
              <w:spacing w:after="0" w:line="240" w:lineRule="auto"/>
              <w:jc w:val="center"/>
              <w:rPr>
                <w:lang w:eastAsia="en-GB"/>
              </w:rPr>
            </w:pPr>
            <w:r>
              <w:rPr>
                <w:lang w:eastAsia="en-GB"/>
              </w:rPr>
              <w:t>29</w:t>
            </w:r>
          </w:p>
        </w:tc>
        <w:tc>
          <w:tcPr>
            <w:tcW w:w="1185" w:type="dxa"/>
            <w:tcBorders>
              <w:top w:val="nil"/>
              <w:left w:val="nil"/>
              <w:bottom w:val="single" w:sz="8" w:space="0" w:color="auto"/>
              <w:right w:val="nil"/>
            </w:tcBorders>
            <w:noWrap/>
            <w:tcMar>
              <w:top w:w="0" w:type="dxa"/>
              <w:left w:w="108" w:type="dxa"/>
              <w:bottom w:w="0" w:type="dxa"/>
              <w:right w:w="108" w:type="dxa"/>
            </w:tcMar>
            <w:vAlign w:val="center"/>
            <w:hideMark/>
          </w:tcPr>
          <w:p w14:paraId="29BE4F66" w14:textId="77777777" w:rsidR="00C86D59" w:rsidRDefault="00C86D59" w:rsidP="00FF3CB4">
            <w:pPr>
              <w:spacing w:after="0" w:line="240" w:lineRule="auto"/>
              <w:jc w:val="center"/>
              <w:rPr>
                <w:lang w:eastAsia="en-GB"/>
              </w:rPr>
            </w:pPr>
            <w:r>
              <w:rPr>
                <w:lang w:eastAsia="en-GB"/>
              </w:rPr>
              <w:t>0.951</w:t>
            </w:r>
          </w:p>
        </w:tc>
        <w:tc>
          <w:tcPr>
            <w:tcW w:w="5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F8D227" w14:textId="77777777" w:rsidR="00C86D59" w:rsidRDefault="00C86D59" w:rsidP="00FF3CB4">
            <w:pPr>
              <w:spacing w:after="0" w:line="240" w:lineRule="auto"/>
              <w:jc w:val="center"/>
              <w:rPr>
                <w:lang w:eastAsia="en-GB"/>
              </w:rPr>
            </w:pPr>
            <w:r>
              <w:rPr>
                <w:lang w:eastAsia="en-GB"/>
              </w:rPr>
              <w:t>93</w:t>
            </w:r>
          </w:p>
        </w:tc>
        <w:tc>
          <w:tcPr>
            <w:tcW w:w="1169" w:type="dxa"/>
            <w:tcBorders>
              <w:top w:val="nil"/>
              <w:left w:val="nil"/>
              <w:bottom w:val="single" w:sz="8" w:space="0" w:color="auto"/>
              <w:right w:val="nil"/>
            </w:tcBorders>
            <w:noWrap/>
            <w:tcMar>
              <w:top w:w="0" w:type="dxa"/>
              <w:left w:w="108" w:type="dxa"/>
              <w:bottom w:w="0" w:type="dxa"/>
              <w:right w:w="108" w:type="dxa"/>
            </w:tcMar>
            <w:vAlign w:val="center"/>
            <w:hideMark/>
          </w:tcPr>
          <w:p w14:paraId="58A2CA54" w14:textId="77777777" w:rsidR="00C86D59" w:rsidRDefault="00C86D59" w:rsidP="00FF3CB4">
            <w:pPr>
              <w:spacing w:after="0" w:line="240" w:lineRule="auto"/>
              <w:jc w:val="center"/>
              <w:rPr>
                <w:lang w:eastAsia="en-GB"/>
              </w:rPr>
            </w:pPr>
            <w:r>
              <w:rPr>
                <w:lang w:eastAsia="en-GB"/>
              </w:rPr>
              <w:t>0.039</w:t>
            </w:r>
          </w:p>
        </w:tc>
        <w:tc>
          <w:tcPr>
            <w:tcW w:w="1320" w:type="dxa"/>
            <w:tcBorders>
              <w:top w:val="nil"/>
              <w:left w:val="nil"/>
              <w:bottom w:val="single" w:sz="8" w:space="0" w:color="auto"/>
              <w:right w:val="nil"/>
            </w:tcBorders>
            <w:noWrap/>
            <w:tcMar>
              <w:top w:w="0" w:type="dxa"/>
              <w:left w:w="108" w:type="dxa"/>
              <w:bottom w:w="0" w:type="dxa"/>
              <w:right w:w="108" w:type="dxa"/>
            </w:tcMar>
            <w:vAlign w:val="center"/>
            <w:hideMark/>
          </w:tcPr>
          <w:p w14:paraId="7838E023" w14:textId="77777777" w:rsidR="00C86D59" w:rsidRDefault="00C86D59" w:rsidP="00FF3CB4">
            <w:pPr>
              <w:spacing w:after="0" w:line="240" w:lineRule="auto"/>
              <w:jc w:val="center"/>
              <w:rPr>
                <w:lang w:eastAsia="en-GB"/>
              </w:rPr>
            </w:pPr>
            <w:r>
              <w:rPr>
                <w:lang w:eastAsia="en-GB"/>
              </w:rPr>
              <w:t>(-0.02, 0.10)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FBA6EF" w14:textId="77777777" w:rsidR="00C86D59" w:rsidRDefault="00C86D59" w:rsidP="00FF3CB4">
            <w:pPr>
              <w:spacing w:after="0" w:line="240" w:lineRule="auto"/>
              <w:jc w:val="center"/>
              <w:rPr>
                <w:lang w:eastAsia="en-GB"/>
              </w:rPr>
            </w:pPr>
            <w:r>
              <w:rPr>
                <w:lang w:eastAsia="en-GB"/>
              </w:rPr>
              <w:t>0.214</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40015B" w14:textId="77777777" w:rsidR="00C86D59" w:rsidRDefault="00C86D59" w:rsidP="00FF3CB4">
            <w:pPr>
              <w:spacing w:after="0" w:line="240" w:lineRule="auto"/>
              <w:jc w:val="center"/>
              <w:rPr>
                <w:lang w:eastAsia="en-GB"/>
              </w:rPr>
            </w:pPr>
            <w:r>
              <w:rPr>
                <w:lang w:eastAsia="en-GB"/>
              </w:rPr>
              <w:t>0.236</w:t>
            </w:r>
          </w:p>
        </w:tc>
      </w:tr>
    </w:tbl>
    <w:p w14:paraId="446247AB" w14:textId="77777777" w:rsidR="007C49C5" w:rsidRPr="004970CA" w:rsidRDefault="007C49C5" w:rsidP="009953E1">
      <w:pPr>
        <w:spacing w:after="0" w:line="240" w:lineRule="auto"/>
        <w:rPr>
          <w:b/>
          <w:sz w:val="16"/>
          <w:szCs w:val="16"/>
        </w:rPr>
      </w:pPr>
      <w:r w:rsidRPr="004970CA">
        <w:rPr>
          <w:b/>
          <w:sz w:val="16"/>
          <w:szCs w:val="16"/>
        </w:rPr>
        <w:t>Table 1: Average antibiotic prescribing rates in East and North Herts CCG (ENHCCG), Herts Valleys CCG (HVCCG) and both CCGs combined divided into those practices with a clinical pharmacist (CP) and those without a CP.</w:t>
      </w:r>
    </w:p>
    <w:p w14:paraId="09643E72" w14:textId="77777777" w:rsidR="007C49C5" w:rsidRDefault="007C49C5" w:rsidP="00561B00"/>
    <w:p w14:paraId="65BC4E4A" w14:textId="77777777" w:rsidR="000E0444" w:rsidRDefault="00C86D59" w:rsidP="00561B00">
      <w:r>
        <w:t xml:space="preserve">Across the two CCGs, average prescribing </w:t>
      </w:r>
      <w:r w:rsidR="000E0444">
        <w:t xml:space="preserve">rates are 4.3% lower in those practices with a clinical pharmacist than those without, with a difference of 0.039 items per </w:t>
      </w:r>
      <w:r w:rsidR="000E0444" w:rsidRPr="00D70EC1">
        <w:t>STAR-PU</w:t>
      </w:r>
      <w:r w:rsidR="000E0444">
        <w:t xml:space="preserve"> (p=0.214).  The small number of practices with CPs combined with the small absolute difference in items meant that the statistical power of the test was low, at around 24%. </w:t>
      </w:r>
    </w:p>
    <w:p w14:paraId="1AD582C4" w14:textId="77777777" w:rsidR="000E0444" w:rsidRDefault="000E0444" w:rsidP="00561B00">
      <w:r>
        <w:t xml:space="preserve">There was no evidence that either HV or ENH displayed differences in the number of items per STAR-PU, with p=0.145 and p=0.584 respectively.  </w:t>
      </w:r>
      <w:r w:rsidR="007C49C5">
        <w:t>However, t</w:t>
      </w:r>
      <w:r>
        <w:t xml:space="preserve">he data indicates a possible larger difference for HV, but a larger sample is required to confirm </w:t>
      </w:r>
      <w:r w:rsidR="007C49C5">
        <w:t>the magnitude of the observed differences.  The confidence interval for the differences, along with the powers of the tests, indicate that the results need to be interpreted with caution until larger samples can be gathered.</w:t>
      </w:r>
    </w:p>
    <w:p w14:paraId="0C06646F" w14:textId="77777777" w:rsidR="000E0444" w:rsidRPr="00FE24D7" w:rsidRDefault="000E0444" w:rsidP="007C49C5">
      <w:pPr>
        <w:spacing w:after="0" w:line="240" w:lineRule="auto"/>
      </w:pPr>
    </w:p>
    <w:p w14:paraId="710E97EA" w14:textId="77777777" w:rsidR="00F442D9" w:rsidRDefault="00F442D9" w:rsidP="004970CA"/>
    <w:p w14:paraId="57E6E70A" w14:textId="77384BCB" w:rsidR="00735A04" w:rsidRDefault="003B7712" w:rsidP="004970CA">
      <w:r>
        <w:rPr>
          <w:noProof/>
          <w:lang w:eastAsia="en-GB"/>
        </w:rPr>
        <w:lastRenderedPageBreak/>
        <w:drawing>
          <wp:inline distT="0" distB="0" distL="0" distR="0" wp14:anchorId="45C0B37D" wp14:editId="540EF1BA">
            <wp:extent cx="5731510" cy="3171925"/>
            <wp:effectExtent l="19050" t="19050" r="2159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1510" cy="3171925"/>
                    </a:xfrm>
                    <a:prstGeom prst="rect">
                      <a:avLst/>
                    </a:prstGeom>
                    <a:ln>
                      <a:solidFill>
                        <a:schemeClr val="accent1"/>
                      </a:solidFill>
                    </a:ln>
                  </pic:spPr>
                </pic:pic>
              </a:graphicData>
            </a:graphic>
          </wp:inline>
        </w:drawing>
      </w:r>
    </w:p>
    <w:p w14:paraId="503A4E5D" w14:textId="77777777" w:rsidR="00735A04" w:rsidRPr="004970CA" w:rsidRDefault="00CF070C" w:rsidP="004970CA">
      <w:pPr>
        <w:rPr>
          <w:b/>
          <w:sz w:val="16"/>
          <w:szCs w:val="16"/>
        </w:rPr>
      </w:pPr>
      <w:r w:rsidRPr="004970CA">
        <w:rPr>
          <w:b/>
          <w:sz w:val="16"/>
          <w:szCs w:val="16"/>
        </w:rPr>
        <w:t>Graph 1: Average antibiotic prescribing rates in East and North Herts CCG (ENHCCG), Herts Valleys CCG (HVCCG) and both CCGs combined divided into those practices with a clinical pharmacist (CP) and those without a CP.</w:t>
      </w:r>
    </w:p>
    <w:p w14:paraId="3BE374BB" w14:textId="77777777" w:rsidR="00FE24D7" w:rsidRDefault="00FE24D7" w:rsidP="004970CA"/>
    <w:p w14:paraId="2001F131" w14:textId="77777777" w:rsidR="00735A04" w:rsidRPr="004970CA" w:rsidRDefault="00735A04" w:rsidP="004970CA">
      <w:pPr>
        <w:rPr>
          <w:b/>
        </w:rPr>
      </w:pPr>
      <w:r w:rsidRPr="004970CA">
        <w:rPr>
          <w:b/>
        </w:rPr>
        <w:t>DISCUSSION</w:t>
      </w:r>
    </w:p>
    <w:p w14:paraId="058EB4AE" w14:textId="77777777" w:rsidR="00E50996" w:rsidRPr="00E50996" w:rsidRDefault="00CE10CB" w:rsidP="004970CA">
      <w:r w:rsidRPr="00CF070C">
        <w:t xml:space="preserve">The number of non-medical prescribers (NMPs) in England, who have independent prescribing capability, has risen by over one-third to nearly 30000 between 2011 and 2016. The rate of dispensed NMP prescriptions for antibiotics over this period has increased, as has the percentage of all primary care antibiotics dispensed that were prescribed by NMPs, which is currently nearly 8% </w:t>
      </w:r>
      <w:sdt>
        <w:sdtPr>
          <w:id w:val="1560130730"/>
          <w:citation/>
        </w:sdtPr>
        <w:sdtEndPr/>
        <w:sdtContent>
          <w:r w:rsidRPr="00CF070C">
            <w:fldChar w:fldCharType="begin"/>
          </w:r>
          <w:r w:rsidRPr="00CF070C">
            <w:instrText xml:space="preserve"> CITATION courtenay-gillespie-2017-patterns-of-dispensed-non-medical-prescriber-prescriptions-for-antibiotics-in-primary-care-across-england:-a-retrospective-analysis \l 2057 </w:instrText>
          </w:r>
          <w:r w:rsidRPr="00CF070C">
            <w:fldChar w:fldCharType="separate"/>
          </w:r>
          <w:r w:rsidR="009D5AC8" w:rsidRPr="009D5AC8">
            <w:rPr>
              <w:noProof/>
            </w:rPr>
            <w:t>[12]</w:t>
          </w:r>
          <w:r w:rsidRPr="00CF070C">
            <w:fldChar w:fldCharType="end"/>
          </w:r>
        </w:sdtContent>
      </w:sdt>
      <w:r w:rsidRPr="00CF070C">
        <w:t xml:space="preserve">. During this period the </w:t>
      </w:r>
      <w:r w:rsidR="00E10F2D">
        <w:t>proportion</w:t>
      </w:r>
      <w:r w:rsidRPr="00CF070C">
        <w:t xml:space="preserve"> of pharmacists that formed the NMPs rose from 6.9% to 9.9%.</w:t>
      </w:r>
      <w:r w:rsidR="00E50996">
        <w:t xml:space="preserve"> Funding from the new five-year GP contract </w:t>
      </w:r>
      <w:r w:rsidR="00FC21D0">
        <w:t xml:space="preserve">means these </w:t>
      </w:r>
      <w:r w:rsidR="00C92604">
        <w:t xml:space="preserve">NMP </w:t>
      </w:r>
      <w:r w:rsidR="00FC21D0">
        <w:t>numbers will expand rapidly</w:t>
      </w:r>
      <w:r w:rsidR="00E10F2D">
        <w:t xml:space="preserve"> in the next few years</w:t>
      </w:r>
      <w:r w:rsidR="00FC21D0">
        <w:t xml:space="preserve">. An </w:t>
      </w:r>
      <w:r w:rsidR="00E50996" w:rsidRPr="00E50996">
        <w:t>estimated 20,000+ additional posts in five specific different primary care roles</w:t>
      </w:r>
      <w:r w:rsidR="00E50996">
        <w:t xml:space="preserve"> </w:t>
      </w:r>
      <w:r w:rsidR="00FC21D0">
        <w:t xml:space="preserve">are to be created </w:t>
      </w:r>
      <w:r w:rsidR="00ED5625">
        <w:t xml:space="preserve">in </w:t>
      </w:r>
      <w:r w:rsidR="00C92604">
        <w:t>England in the five years from 2019 to</w:t>
      </w:r>
      <w:r w:rsidR="00E50996">
        <w:t xml:space="preserve"> </w:t>
      </w:r>
      <w:r w:rsidR="00E50996" w:rsidRPr="00E50996">
        <w:t>2024</w:t>
      </w:r>
      <w:r w:rsidR="00FC21D0">
        <w:t xml:space="preserve">. </w:t>
      </w:r>
      <w:r w:rsidR="00E50996">
        <w:t xml:space="preserve">These </w:t>
      </w:r>
      <w:r w:rsidR="00FC21D0">
        <w:t xml:space="preserve">five </w:t>
      </w:r>
      <w:r w:rsidR="00E50996">
        <w:t xml:space="preserve">roles are </w:t>
      </w:r>
      <w:r w:rsidR="00E50996" w:rsidRPr="00E50996">
        <w:t>clinical pharmacists, social prescribing link workers, physician associates, first contact physiotherapists and first</w:t>
      </w:r>
      <w:r w:rsidR="00E50996">
        <w:t xml:space="preserve"> </w:t>
      </w:r>
      <w:r w:rsidR="00E50996" w:rsidRPr="00E50996">
        <w:t>contact community paramedics</w:t>
      </w:r>
      <w:r w:rsidR="00FC21D0">
        <w:t>, many will have prescribing capability.</w:t>
      </w:r>
    </w:p>
    <w:p w14:paraId="4EB61C73" w14:textId="3849071F" w:rsidR="00E43347" w:rsidRPr="00B30E78" w:rsidRDefault="00862BF9" w:rsidP="004970CA">
      <w:r>
        <w:t>The</w:t>
      </w:r>
      <w:r w:rsidRPr="00862BF9">
        <w:t xml:space="preserve"> distribution of the</w:t>
      </w:r>
      <w:r w:rsidR="005E72E3">
        <w:t xml:space="preserve"> new workforce</w:t>
      </w:r>
      <w:r w:rsidRPr="00862BF9">
        <w:t xml:space="preserve"> across the five roles will depend on the choices that in</w:t>
      </w:r>
      <w:r>
        <w:t>dividual networks make. However NHSE has indicated that</w:t>
      </w:r>
      <w:r w:rsidRPr="0078234D">
        <w:t xml:space="preserve"> </w:t>
      </w:r>
      <w:r>
        <w:t>by</w:t>
      </w:r>
      <w:r w:rsidR="00CE10CB" w:rsidRPr="0078234D">
        <w:t xml:space="preserve"> 2024</w:t>
      </w:r>
      <w:r w:rsidR="00ED5625">
        <w:t>,</w:t>
      </w:r>
      <w:r w:rsidR="00CE10CB">
        <w:t xml:space="preserve"> </w:t>
      </w:r>
      <w:r w:rsidR="00CE10CB" w:rsidRPr="0078234D">
        <w:t xml:space="preserve">a typical </w:t>
      </w:r>
      <w:r w:rsidR="00CE10CB">
        <w:t>PCN will have</w:t>
      </w:r>
      <w:r w:rsidR="00CE10CB" w:rsidRPr="0078234D">
        <w:t xml:space="preserve"> 5 clinical pharmacist</w:t>
      </w:r>
      <w:r w:rsidR="00CE10CB">
        <w:t>s</w:t>
      </w:r>
      <w:r w:rsidR="00ED5625">
        <w:t>,</w:t>
      </w:r>
      <w:r w:rsidR="00CE10CB">
        <w:t xml:space="preserve"> the equivalent of one pharmacist per GP practice</w:t>
      </w:r>
      <w:sdt>
        <w:sdtPr>
          <w:id w:val="-779420530"/>
          <w:citation/>
        </w:sdtPr>
        <w:sdtEndPr/>
        <w:sdtContent>
          <w:r w:rsidR="00CE10CB">
            <w:fldChar w:fldCharType="begin"/>
          </w:r>
          <w:r w:rsidR="00CE10CB">
            <w:instrText xml:space="preserve"> CITATION 2019-investment-and-evolution:-a-five-year-framework-for-gp-contract-reform-to-implement-the-nhs-long-term-plan \l 2057 </w:instrText>
          </w:r>
          <w:r w:rsidR="00CE10CB">
            <w:fldChar w:fldCharType="separate"/>
          </w:r>
          <w:r w:rsidR="009D5AC8">
            <w:rPr>
              <w:noProof/>
            </w:rPr>
            <w:t xml:space="preserve"> </w:t>
          </w:r>
          <w:r w:rsidR="009D5AC8" w:rsidRPr="009D5AC8">
            <w:rPr>
              <w:noProof/>
            </w:rPr>
            <w:t>[9]</w:t>
          </w:r>
          <w:r w:rsidR="00CE10CB">
            <w:fldChar w:fldCharType="end"/>
          </w:r>
        </w:sdtContent>
      </w:sdt>
      <w:r w:rsidR="00CE10CB">
        <w:t>.</w:t>
      </w:r>
      <w:r w:rsidR="00ED5625">
        <w:t xml:space="preserve"> With over 7,000 GP practices in </w:t>
      </w:r>
      <w:r w:rsidR="00ED5625" w:rsidRPr="00B30E78">
        <w:t>England, this would represent a dramatic uplift from 49</w:t>
      </w:r>
      <w:r w:rsidR="005E72E3" w:rsidRPr="00B30E78">
        <w:t>1</w:t>
      </w:r>
      <w:r w:rsidR="00ED5625" w:rsidRPr="00B30E78">
        <w:t xml:space="preserve"> GP practice pharmacists in February 2019 reported by NHSE</w:t>
      </w:r>
      <w:sdt>
        <w:sdtPr>
          <w:id w:val="1857614719"/>
          <w:citation/>
        </w:sdtPr>
        <w:sdtEndPr/>
        <w:sdtContent>
          <w:r w:rsidR="00E43347" w:rsidRPr="00B30E78">
            <w:fldChar w:fldCharType="begin"/>
          </w:r>
          <w:r w:rsidR="00E43347" w:rsidRPr="00B30E78">
            <w:instrText xml:space="preserve"> CITATION mann-anderson-2018-clinical-pharmacists-in-general-practice:-pilot-scheme-independent-evaluation-report:-full-report-national-evaluation-of-clinical-pharmacists-in-gp-practices-(pilot-phase)-|-1 \l 2057 </w:instrText>
          </w:r>
          <w:r w:rsidR="00E43347" w:rsidRPr="00B30E78">
            <w:fldChar w:fldCharType="separate"/>
          </w:r>
          <w:r w:rsidR="009D5AC8" w:rsidRPr="00B30E78">
            <w:rPr>
              <w:noProof/>
            </w:rPr>
            <w:t xml:space="preserve"> [13]</w:t>
          </w:r>
          <w:r w:rsidR="00E43347" w:rsidRPr="00B30E78">
            <w:fldChar w:fldCharType="end"/>
          </w:r>
        </w:sdtContent>
      </w:sdt>
      <w:r w:rsidR="00ED5625" w:rsidRPr="00B30E78">
        <w:t>.</w:t>
      </w:r>
      <w:r w:rsidR="002B322D" w:rsidRPr="00B30E78">
        <w:t xml:space="preserve"> </w:t>
      </w:r>
      <w:r w:rsidR="00BC5662" w:rsidRPr="00B30E78">
        <w:t>Despite this</w:t>
      </w:r>
      <w:r w:rsidR="002B322D" w:rsidRPr="00B30E78">
        <w:t xml:space="preserve"> there is a paucity of evidence to support the role of clinical pharmacists integrated into the GP prac</w:t>
      </w:r>
      <w:r w:rsidR="00E10F2D" w:rsidRPr="00B30E78">
        <w:t xml:space="preserve">tice team. This is </w:t>
      </w:r>
      <w:r w:rsidR="00B63E46" w:rsidRPr="00B30E78">
        <w:t xml:space="preserve">currently </w:t>
      </w:r>
      <w:r w:rsidR="00E10F2D" w:rsidRPr="00B30E78">
        <w:t>a</w:t>
      </w:r>
      <w:r w:rsidR="00574C10" w:rsidRPr="00B30E78">
        <w:t xml:space="preserve">n ill-defined </w:t>
      </w:r>
      <w:r w:rsidR="002B322D" w:rsidRPr="00B30E78">
        <w:t>role</w:t>
      </w:r>
      <w:r w:rsidR="00B63E46" w:rsidRPr="00B30E78">
        <w:t xml:space="preserve"> but one that by necessity will be</w:t>
      </w:r>
      <w:r w:rsidR="002B322D" w:rsidRPr="00B30E78">
        <w:t xml:space="preserve"> distinct from t</w:t>
      </w:r>
      <w:r w:rsidR="00BC5662" w:rsidRPr="00B30E78">
        <w:t xml:space="preserve">hat of the community </w:t>
      </w:r>
      <w:r w:rsidR="005E72E3" w:rsidRPr="00B30E78">
        <w:t>and hospital clinical pharmacy</w:t>
      </w:r>
      <w:r w:rsidR="00A82FEF" w:rsidRPr="00B30E78">
        <w:t xml:space="preserve"> </w:t>
      </w:r>
      <w:sdt>
        <w:sdtPr>
          <w:id w:val="-1585833316"/>
          <w:citation/>
        </w:sdtPr>
        <w:sdtEndPr/>
        <w:sdtContent>
          <w:r w:rsidR="00A82FEF" w:rsidRPr="00B30E78">
            <w:fldChar w:fldCharType="begin"/>
          </w:r>
          <w:r w:rsidR="00A82FEF" w:rsidRPr="00B30E78">
            <w:instrText xml:space="preserve"> CITATION mann-anderson-2018-clinical-pharmacists-in-general-practice:-pilot-scheme-independent-evaluation-report:-full-report-national-evaluation-of-clinical-pharmacists-in-gp-practices-(pilot-phase)-|-1 \l 2057 </w:instrText>
          </w:r>
          <w:r w:rsidR="00A82FEF" w:rsidRPr="00B30E78">
            <w:fldChar w:fldCharType="separate"/>
          </w:r>
          <w:r w:rsidR="009D5AC8" w:rsidRPr="00B30E78">
            <w:rPr>
              <w:noProof/>
            </w:rPr>
            <w:t>[13]</w:t>
          </w:r>
          <w:r w:rsidR="00A82FEF" w:rsidRPr="00B30E78">
            <w:fldChar w:fldCharType="end"/>
          </w:r>
        </w:sdtContent>
      </w:sdt>
      <w:r w:rsidR="002B322D" w:rsidRPr="00B30E78">
        <w:t xml:space="preserve">. </w:t>
      </w:r>
    </w:p>
    <w:p w14:paraId="3B6E4C2F" w14:textId="3A779BED" w:rsidR="000335A7" w:rsidRPr="00B30E78" w:rsidRDefault="00B63E46" w:rsidP="004970CA">
      <w:r w:rsidRPr="00B30E78">
        <w:t>A</w:t>
      </w:r>
      <w:r w:rsidR="00E43347" w:rsidRPr="00B30E78">
        <w:t>ntimicrobial pharmacists</w:t>
      </w:r>
      <w:r w:rsidR="00CF0E8D" w:rsidRPr="00B30E78">
        <w:t xml:space="preserve"> </w:t>
      </w:r>
      <w:r w:rsidRPr="00B30E78">
        <w:t xml:space="preserve">in hospital </w:t>
      </w:r>
      <w:r w:rsidR="00E43347" w:rsidRPr="00B30E78">
        <w:t xml:space="preserve">are seen as a key </w:t>
      </w:r>
      <w:r w:rsidR="00FE24D7" w:rsidRPr="00B30E78">
        <w:t xml:space="preserve">enablers to the delivery of </w:t>
      </w:r>
      <w:r w:rsidRPr="00B30E78">
        <w:t>AMS</w:t>
      </w:r>
      <w:r w:rsidR="00A61D40" w:rsidRPr="00B30E78">
        <w:t xml:space="preserve"> </w:t>
      </w:r>
      <w:r w:rsidR="00E43347" w:rsidRPr="00B30E78">
        <w:t xml:space="preserve">in secondary care </w:t>
      </w:r>
      <w:sdt>
        <w:sdtPr>
          <w:id w:val="-396204416"/>
          <w:citation/>
        </w:sdtPr>
        <w:sdtEndPr/>
        <w:sdtContent>
          <w:r w:rsidR="00E43347" w:rsidRPr="00B30E78">
            <w:fldChar w:fldCharType="begin"/>
          </w:r>
          <w:r w:rsidR="00E43347" w:rsidRPr="00B30E78">
            <w:instrText xml:space="preserve"> CITATION wickens-farrell-2013-the-increasing-role-of-pharmacists-in-antimicrobial-stewardship-in-english-hospitals \l 2057 </w:instrText>
          </w:r>
          <w:r w:rsidR="00E43347" w:rsidRPr="00B30E78">
            <w:fldChar w:fldCharType="separate"/>
          </w:r>
          <w:r w:rsidR="009D5AC8" w:rsidRPr="00B30E78">
            <w:rPr>
              <w:noProof/>
            </w:rPr>
            <w:t>[14]</w:t>
          </w:r>
          <w:r w:rsidR="00E43347" w:rsidRPr="00B30E78">
            <w:fldChar w:fldCharType="end"/>
          </w:r>
        </w:sdtContent>
      </w:sdt>
      <w:sdt>
        <w:sdtPr>
          <w:id w:val="-1133402776"/>
          <w:citation/>
        </w:sdtPr>
        <w:sdtEndPr/>
        <w:sdtContent>
          <w:r w:rsidR="00E43347" w:rsidRPr="00B30E78">
            <w:fldChar w:fldCharType="begin"/>
          </w:r>
          <w:r w:rsidR="00E43347" w:rsidRPr="00B30E78">
            <w:instrText xml:space="preserve"> CITATION hand-2007-antibiotic-pharmacists-in-the-ascendancy \l 2057 </w:instrText>
          </w:r>
          <w:r w:rsidR="00E43347" w:rsidRPr="00B30E78">
            <w:fldChar w:fldCharType="separate"/>
          </w:r>
          <w:r w:rsidR="009D5AC8" w:rsidRPr="00B30E78">
            <w:rPr>
              <w:noProof/>
            </w:rPr>
            <w:t xml:space="preserve"> [15]</w:t>
          </w:r>
          <w:r w:rsidR="00E43347" w:rsidRPr="00B30E78">
            <w:fldChar w:fldCharType="end"/>
          </w:r>
        </w:sdtContent>
      </w:sdt>
      <w:r w:rsidR="00E43347" w:rsidRPr="00B30E78">
        <w:t xml:space="preserve"> </w:t>
      </w:r>
      <w:sdt>
        <w:sdtPr>
          <w:id w:val="-2020382701"/>
          <w:citation/>
        </w:sdtPr>
        <w:sdtEndPr/>
        <w:sdtContent>
          <w:r w:rsidR="00E43347" w:rsidRPr="00B30E78">
            <w:fldChar w:fldCharType="begin"/>
          </w:r>
          <w:r w:rsidR="00E43347" w:rsidRPr="00B30E78">
            <w:instrText xml:space="preserve"> CITATION gilchrist-wade-2015-antimicrobial-stewardship-from-policy-to-practice:-experiences-from-uk-antimicrobial-pharmacists \l 2057 </w:instrText>
          </w:r>
          <w:r w:rsidR="00E43347" w:rsidRPr="00B30E78">
            <w:fldChar w:fldCharType="separate"/>
          </w:r>
          <w:r w:rsidR="009D5AC8" w:rsidRPr="00B30E78">
            <w:rPr>
              <w:noProof/>
            </w:rPr>
            <w:t>[16]</w:t>
          </w:r>
          <w:r w:rsidR="00E43347" w:rsidRPr="00B30E78">
            <w:fldChar w:fldCharType="end"/>
          </w:r>
        </w:sdtContent>
      </w:sdt>
      <w:r w:rsidR="00E43347" w:rsidRPr="00B30E78">
        <w:t xml:space="preserve"> </w:t>
      </w:r>
      <w:sdt>
        <w:sdtPr>
          <w:id w:val="-23408066"/>
          <w:citation/>
        </w:sdtPr>
        <w:sdtEndPr/>
        <w:sdtContent>
          <w:r w:rsidR="00E43347" w:rsidRPr="00B30E78">
            <w:fldChar w:fldCharType="begin"/>
          </w:r>
          <w:r w:rsidR="00E43347" w:rsidRPr="00B30E78">
            <w:instrText xml:space="preserve"> CITATION 2018-pharmacy’s-role-in-antimicrobial-resistance-and-stewardship \l 2057 </w:instrText>
          </w:r>
          <w:r w:rsidR="00E43347" w:rsidRPr="00B30E78">
            <w:fldChar w:fldCharType="separate"/>
          </w:r>
          <w:r w:rsidR="009D5AC8" w:rsidRPr="00B30E78">
            <w:rPr>
              <w:noProof/>
            </w:rPr>
            <w:t>[17]</w:t>
          </w:r>
          <w:r w:rsidR="00E43347" w:rsidRPr="00B30E78">
            <w:fldChar w:fldCharType="end"/>
          </w:r>
        </w:sdtContent>
      </w:sdt>
      <w:r w:rsidRPr="00B30E78">
        <w:t>. Here they</w:t>
      </w:r>
      <w:r w:rsidR="00A82FEF" w:rsidRPr="00B30E78">
        <w:t xml:space="preserve"> </w:t>
      </w:r>
      <w:r w:rsidRPr="00B30E78">
        <w:t>affect</w:t>
      </w:r>
      <w:r w:rsidR="00A82FEF" w:rsidRPr="00B30E78">
        <w:t xml:space="preserve"> antimicrobial stewardship beyond that of their own personal prescribing practice</w:t>
      </w:r>
      <w:sdt>
        <w:sdtPr>
          <w:id w:val="1104068384"/>
          <w:citation/>
        </w:sdtPr>
        <w:sdtEndPr/>
        <w:sdtContent>
          <w:r w:rsidR="00A82FEF" w:rsidRPr="00B30E78">
            <w:fldChar w:fldCharType="begin"/>
          </w:r>
          <w:r w:rsidR="00A82FEF" w:rsidRPr="00B30E78">
            <w:instrText xml:space="preserve"> CITATION 2015-behaviour-change-and-antibiotic-prescribing-in-healthcare-settings-literature-review-and-behavioural-analysis \l 2057 </w:instrText>
          </w:r>
          <w:r w:rsidR="00A82FEF" w:rsidRPr="00B30E78">
            <w:fldChar w:fldCharType="separate"/>
          </w:r>
          <w:r w:rsidR="009D5AC8" w:rsidRPr="00B30E78">
            <w:rPr>
              <w:noProof/>
            </w:rPr>
            <w:t xml:space="preserve"> [18]</w:t>
          </w:r>
          <w:r w:rsidR="00A82FEF" w:rsidRPr="00B30E78">
            <w:fldChar w:fldCharType="end"/>
          </w:r>
        </w:sdtContent>
      </w:sdt>
      <w:r w:rsidR="00A82FEF" w:rsidRPr="00B30E78">
        <w:t xml:space="preserve">. </w:t>
      </w:r>
      <w:r w:rsidRPr="00B30E78">
        <w:t xml:space="preserve">This </w:t>
      </w:r>
      <w:r w:rsidR="003B7712">
        <w:t xml:space="preserve">pharmacists </w:t>
      </w:r>
      <w:r w:rsidRPr="00B30E78">
        <w:t>role as</w:t>
      </w:r>
      <w:r w:rsidR="003B7712">
        <w:t xml:space="preserve"> a </w:t>
      </w:r>
      <w:r w:rsidRPr="00B30E78">
        <w:t>‘prescribing influencer’ should</w:t>
      </w:r>
      <w:r w:rsidR="004F6FE4" w:rsidRPr="00B30E78">
        <w:t xml:space="preserve"> </w:t>
      </w:r>
      <w:r w:rsidRPr="00B30E78">
        <w:t xml:space="preserve">be </w:t>
      </w:r>
      <w:r w:rsidRPr="00B30E78">
        <w:lastRenderedPageBreak/>
        <w:t>exploited</w:t>
      </w:r>
      <w:r w:rsidR="00B30E78" w:rsidRPr="00B30E78">
        <w:t xml:space="preserve"> in primary care, where more than 80% of antibiotics are prescribed</w:t>
      </w:r>
      <w:r w:rsidR="003B7712">
        <w:t>,</w:t>
      </w:r>
      <w:r w:rsidR="004F6FE4" w:rsidRPr="00B30E78">
        <w:t xml:space="preserve"> </w:t>
      </w:r>
      <w:r w:rsidR="00FE24D7" w:rsidRPr="00B30E78">
        <w:t>as</w:t>
      </w:r>
      <w:r w:rsidR="000335A7" w:rsidRPr="00B30E78">
        <w:t xml:space="preserve"> </w:t>
      </w:r>
      <w:r w:rsidR="00FE24D7" w:rsidRPr="00B30E78">
        <w:t xml:space="preserve">UK </w:t>
      </w:r>
      <w:r w:rsidR="009D5AC8" w:rsidRPr="00B30E78">
        <w:t>strives</w:t>
      </w:r>
      <w:r w:rsidR="000335A7" w:rsidRPr="00B30E78">
        <w:t xml:space="preserve"> to achieve the target to reduce antimicrobial use in humans by 15% by 2024.</w:t>
      </w:r>
      <w:r w:rsidRPr="00B30E78">
        <w:t xml:space="preserve"> </w:t>
      </w:r>
    </w:p>
    <w:p w14:paraId="116D69D7" w14:textId="77E5C234" w:rsidR="00FE24D7" w:rsidRPr="003B7712" w:rsidRDefault="00CF0E8D" w:rsidP="004970CA">
      <w:pPr>
        <w:rPr>
          <w:color w:val="365F91" w:themeColor="accent1" w:themeShade="BF"/>
        </w:rPr>
      </w:pPr>
      <w:r w:rsidRPr="00DF7FC6">
        <w:t>T</w:t>
      </w:r>
      <w:r w:rsidR="004B0009" w:rsidRPr="00DF7FC6">
        <w:t>his paper is the first to our knowl</w:t>
      </w:r>
      <w:r w:rsidR="000335A7" w:rsidRPr="00DF7FC6">
        <w:t>edge</w:t>
      </w:r>
      <w:r w:rsidR="00862BF9" w:rsidRPr="00DF7FC6">
        <w:t xml:space="preserve"> to present </w:t>
      </w:r>
      <w:r w:rsidR="004B0009" w:rsidRPr="00DF7FC6">
        <w:t xml:space="preserve">data on antibiotic prescribing in </w:t>
      </w:r>
      <w:r w:rsidR="00EB3C4A" w:rsidRPr="00DF7FC6">
        <w:t>general practice</w:t>
      </w:r>
      <w:r w:rsidR="004B0009" w:rsidRPr="00DF7FC6">
        <w:t xml:space="preserve"> with </w:t>
      </w:r>
      <w:r w:rsidR="00092E59" w:rsidRPr="00DF7FC6">
        <w:t>a</w:t>
      </w:r>
      <w:r w:rsidR="003B7712" w:rsidRPr="00DF7FC6">
        <w:t xml:space="preserve"> specific focus on</w:t>
      </w:r>
      <w:r w:rsidR="00092E59" w:rsidRPr="00DF7FC6">
        <w:t xml:space="preserve"> </w:t>
      </w:r>
      <w:r w:rsidR="004B0009" w:rsidRPr="00DF7FC6">
        <w:t>clinical pharmacists</w:t>
      </w:r>
      <w:r w:rsidR="003B7712" w:rsidRPr="00DF7FC6">
        <w:t xml:space="preserve"> based in General Practice</w:t>
      </w:r>
      <w:r w:rsidR="00862BF9" w:rsidRPr="00DF7FC6">
        <w:t xml:space="preserve"> in England</w:t>
      </w:r>
      <w:r w:rsidR="004B0009" w:rsidRPr="00DF7FC6">
        <w:t xml:space="preserve">. </w:t>
      </w:r>
      <w:r w:rsidR="005E72E3" w:rsidRPr="00DF7FC6">
        <w:t>Our</w:t>
      </w:r>
      <w:r w:rsidR="00EB3C4A" w:rsidRPr="00DF7FC6">
        <w:t xml:space="preserve"> analysis shows</w:t>
      </w:r>
      <w:r w:rsidR="00862BF9" w:rsidRPr="00DF7FC6">
        <w:t xml:space="preserve"> </w:t>
      </w:r>
      <w:r w:rsidR="003B7712" w:rsidRPr="00DF7FC6">
        <w:t xml:space="preserve">average lower prescribing rates in those practices </w:t>
      </w:r>
      <w:r w:rsidR="008F061A" w:rsidRPr="00DF7FC6">
        <w:t>with a clinical pharmacist</w:t>
      </w:r>
      <w:r w:rsidR="003B7712" w:rsidRPr="00DF7FC6">
        <w:t xml:space="preserve"> than those without. </w:t>
      </w:r>
      <w:r w:rsidR="004F6FE4" w:rsidRPr="00DF7FC6">
        <w:t>The importance of NMP prescribing</w:t>
      </w:r>
      <w:r w:rsidR="003B7712" w:rsidRPr="00DF7FC6">
        <w:t xml:space="preserve"> and the effect of clinical pharmacists on antimicrobial stewardship </w:t>
      </w:r>
      <w:r w:rsidR="00FE24D7" w:rsidRPr="00DF7FC6">
        <w:t>will continue to</w:t>
      </w:r>
      <w:r w:rsidR="004F6FE4" w:rsidRPr="00DF7FC6">
        <w:t xml:space="preserve"> grow </w:t>
      </w:r>
      <w:r w:rsidR="00FE24D7" w:rsidRPr="00DF7FC6">
        <w:t xml:space="preserve">over the coming years </w:t>
      </w:r>
      <w:r w:rsidR="003B7712" w:rsidRPr="00DF7FC6">
        <w:t>as the nature of the workforce changes in the coming years.</w:t>
      </w:r>
      <w:r w:rsidR="00F132CC" w:rsidRPr="00DF7FC6">
        <w:t xml:space="preserve"> </w:t>
      </w:r>
      <w:r w:rsidR="00FE24D7" w:rsidRPr="00DF7FC6">
        <w:t>With the new five-year GP contract calling for an enhanced role for pharmacists in primary care it is clear, as the NHS Chief Pharmaceutical Officer points out, these pharmacists will be increasingly vital to the delivery o</w:t>
      </w:r>
      <w:r w:rsidR="006A6921" w:rsidRPr="00DF7FC6">
        <w:t>f AMS across</w:t>
      </w:r>
      <w:r w:rsidR="004970CA" w:rsidRPr="00DF7FC6">
        <w:t xml:space="preserve"> primary care</w:t>
      </w:r>
      <w:r w:rsidR="006A6921" w:rsidRPr="00DF7FC6">
        <w:t xml:space="preserve"> teams</w:t>
      </w:r>
      <w:r w:rsidR="004970CA" w:rsidRPr="00DF7FC6">
        <w:t xml:space="preserve"> in future</w:t>
      </w:r>
      <w:sdt>
        <w:sdtPr>
          <w:id w:val="-2056462880"/>
          <w:citation/>
        </w:sdtPr>
        <w:sdtEndPr/>
        <w:sdtContent>
          <w:r w:rsidR="004970CA" w:rsidRPr="00DF7FC6">
            <w:fldChar w:fldCharType="begin"/>
          </w:r>
          <w:r w:rsidR="004970CA" w:rsidRPr="00DF7FC6">
            <w:instrText xml:space="preserve"> CITATION nhs-england-\»-clinical-pharmacists-vital-to-patient-care-in-five-year-gp-deal \l 2057 </w:instrText>
          </w:r>
          <w:r w:rsidR="004970CA" w:rsidRPr="00DF7FC6">
            <w:fldChar w:fldCharType="separate"/>
          </w:r>
          <w:r w:rsidR="009D5AC8" w:rsidRPr="00DF7FC6">
            <w:rPr>
              <w:noProof/>
            </w:rPr>
            <w:t xml:space="preserve"> [19]</w:t>
          </w:r>
          <w:r w:rsidR="004970CA" w:rsidRPr="00DF7FC6">
            <w:fldChar w:fldCharType="end"/>
          </w:r>
        </w:sdtContent>
      </w:sdt>
      <w:r w:rsidR="004970CA" w:rsidRPr="00DF7FC6">
        <w:t xml:space="preserve">. </w:t>
      </w:r>
      <w:r w:rsidR="00DF7FC6" w:rsidRPr="00DF7FC6">
        <w:t xml:space="preserve">Specifically </w:t>
      </w:r>
      <w:r w:rsidR="00DF7FC6">
        <w:t>tailored e</w:t>
      </w:r>
      <w:r w:rsidR="00F132CC" w:rsidRPr="00F132CC">
        <w:t>ducation</w:t>
      </w:r>
      <w:r w:rsidR="00DF7FC6">
        <w:t>al</w:t>
      </w:r>
      <w:r w:rsidR="00F132CC" w:rsidRPr="00F132CC">
        <w:t xml:space="preserve"> initiatives and continued profes</w:t>
      </w:r>
      <w:r w:rsidR="009D5AC8">
        <w:t>sional development</w:t>
      </w:r>
      <w:r w:rsidR="00F132CC" w:rsidRPr="00F132CC">
        <w:t xml:space="preserve"> </w:t>
      </w:r>
      <w:r w:rsidR="00DF7FC6">
        <w:t>are therefore required</w:t>
      </w:r>
      <w:r w:rsidR="009D5AC8">
        <w:t xml:space="preserve"> ensure the unique skills of these pharmacists can be optimised to further AMS across primary care</w:t>
      </w:r>
      <w:sdt>
        <w:sdtPr>
          <w:id w:val="-306550182"/>
          <w:citation/>
        </w:sdtPr>
        <w:sdtEndPr/>
        <w:sdtContent>
          <w:r w:rsidR="009D5AC8">
            <w:fldChar w:fldCharType="begin"/>
          </w:r>
          <w:r w:rsidR="009D5AC8">
            <w:instrText xml:space="preserve"> CITATION castro-sánchez-drumright-2016-mapping-antimicrobial-stewardship-in-undergraduate-medical,-dental,-pharmacy,-nursing-and-veterinary-education-in-the-united-kingdom \l 2057 </w:instrText>
          </w:r>
          <w:r w:rsidR="009D5AC8">
            <w:fldChar w:fldCharType="separate"/>
          </w:r>
          <w:r w:rsidR="009D5AC8">
            <w:rPr>
              <w:noProof/>
            </w:rPr>
            <w:t xml:space="preserve"> </w:t>
          </w:r>
          <w:r w:rsidR="009D5AC8" w:rsidRPr="009D5AC8">
            <w:rPr>
              <w:noProof/>
            </w:rPr>
            <w:t>[20]</w:t>
          </w:r>
          <w:r w:rsidR="009D5AC8">
            <w:fldChar w:fldCharType="end"/>
          </w:r>
        </w:sdtContent>
      </w:sdt>
      <w:r w:rsidR="009D5AC8">
        <w:t>.</w:t>
      </w:r>
    </w:p>
    <w:sdt>
      <w:sdtPr>
        <w:rPr>
          <w:rFonts w:asciiTheme="minorHAnsi" w:eastAsiaTheme="minorHAnsi" w:hAnsiTheme="minorHAnsi" w:cstheme="minorBidi"/>
          <w:b w:val="0"/>
          <w:bCs w:val="0"/>
          <w:color w:val="auto"/>
          <w:sz w:val="22"/>
          <w:szCs w:val="22"/>
          <w:lang w:val="en-GB" w:eastAsia="en-US"/>
        </w:rPr>
        <w:id w:val="809838949"/>
        <w:docPartObj>
          <w:docPartGallery w:val="Bibliographies"/>
          <w:docPartUnique/>
        </w:docPartObj>
      </w:sdtPr>
      <w:sdtEndPr/>
      <w:sdtContent>
        <w:p w14:paraId="2D820A83" w14:textId="77777777" w:rsidR="009D5AC8" w:rsidRDefault="009D5AC8">
          <w:pPr>
            <w:pStyle w:val="Heading1"/>
          </w:pPr>
          <w:r>
            <w:t>Works Cited</w:t>
          </w:r>
        </w:p>
        <w:p w14:paraId="70DA2046" w14:textId="77777777" w:rsidR="009D5AC8" w:rsidRDefault="009D5AC8">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8593"/>
          </w:tblGrid>
          <w:tr w:rsidR="009D5AC8" w14:paraId="586BA687" w14:textId="77777777">
            <w:trPr>
              <w:tblCellSpacing w:w="15" w:type="dxa"/>
            </w:trPr>
            <w:tc>
              <w:tcPr>
                <w:tcW w:w="50" w:type="pct"/>
                <w:hideMark/>
              </w:tcPr>
              <w:p w14:paraId="7B1511B7" w14:textId="77777777" w:rsidR="009D5AC8" w:rsidRDefault="009D5AC8">
                <w:pPr>
                  <w:pStyle w:val="Bibliography"/>
                  <w:rPr>
                    <w:rFonts w:eastAsiaTheme="minorEastAsia"/>
                    <w:noProof/>
                    <w:lang w:val="en-US"/>
                  </w:rPr>
                </w:pPr>
                <w:r>
                  <w:rPr>
                    <w:noProof/>
                    <w:lang w:val="en-US"/>
                  </w:rPr>
                  <w:t xml:space="preserve">[1] </w:t>
                </w:r>
              </w:p>
            </w:tc>
            <w:tc>
              <w:tcPr>
                <w:tcW w:w="0" w:type="auto"/>
                <w:hideMark/>
              </w:tcPr>
              <w:p w14:paraId="72559615" w14:textId="77777777" w:rsidR="009D5AC8" w:rsidRDefault="009D5AC8">
                <w:pPr>
                  <w:pStyle w:val="Bibliography"/>
                  <w:rPr>
                    <w:rFonts w:eastAsiaTheme="minorEastAsia"/>
                    <w:noProof/>
                    <w:lang w:val="en-US"/>
                  </w:rPr>
                </w:pPr>
                <w:r>
                  <w:rPr>
                    <w:noProof/>
                    <w:lang w:val="en-US"/>
                  </w:rPr>
                  <w:t xml:space="preserve">G. M. Eliopoulos, S. E. Cosgrove and Y. Carmeli, "The Impact of Antimicrobial Resistance on Health and Economic Outcomes," </w:t>
                </w:r>
                <w:r>
                  <w:rPr>
                    <w:i/>
                    <w:iCs/>
                    <w:noProof/>
                    <w:lang w:val="en-US"/>
                  </w:rPr>
                  <w:t xml:space="preserve">Clinical Infectious Diseases, </w:t>
                </w:r>
                <w:r>
                  <w:rPr>
                    <w:noProof/>
                    <w:lang w:val="en-US"/>
                  </w:rPr>
                  <w:t xml:space="preserve">vol. 36, no. 11, pp. 1433-1437, 1 6 2003. </w:t>
                </w:r>
              </w:p>
            </w:tc>
          </w:tr>
          <w:tr w:rsidR="009D5AC8" w14:paraId="11D687F4" w14:textId="77777777">
            <w:trPr>
              <w:tblCellSpacing w:w="15" w:type="dxa"/>
            </w:trPr>
            <w:tc>
              <w:tcPr>
                <w:tcW w:w="50" w:type="pct"/>
                <w:hideMark/>
              </w:tcPr>
              <w:p w14:paraId="34E06F79" w14:textId="77777777" w:rsidR="009D5AC8" w:rsidRDefault="009D5AC8">
                <w:pPr>
                  <w:pStyle w:val="Bibliography"/>
                  <w:rPr>
                    <w:rFonts w:eastAsiaTheme="minorEastAsia"/>
                    <w:noProof/>
                    <w:lang w:val="en-US"/>
                  </w:rPr>
                </w:pPr>
                <w:r>
                  <w:rPr>
                    <w:noProof/>
                    <w:lang w:val="en-US"/>
                  </w:rPr>
                  <w:t xml:space="preserve">[2] </w:t>
                </w:r>
              </w:p>
            </w:tc>
            <w:tc>
              <w:tcPr>
                <w:tcW w:w="0" w:type="auto"/>
                <w:hideMark/>
              </w:tcPr>
              <w:p w14:paraId="2121340D" w14:textId="77777777" w:rsidR="009D5AC8" w:rsidRDefault="009D5AC8">
                <w:pPr>
                  <w:pStyle w:val="Bibliography"/>
                  <w:rPr>
                    <w:rFonts w:eastAsiaTheme="minorEastAsia"/>
                    <w:noProof/>
                    <w:lang w:val="en-US"/>
                  </w:rPr>
                </w:pPr>
                <w:r>
                  <w:rPr>
                    <w:noProof/>
                    <w:lang w:val="en-US"/>
                  </w:rPr>
                  <w:t xml:space="preserve">S. E. Cosgrove, "The Relationship between Antimicrobial Resistance and Patient Outcomes: Mortality, Length of Hospital Stay, and Health Care Costs," </w:t>
                </w:r>
                <w:r>
                  <w:rPr>
                    <w:i/>
                    <w:iCs/>
                    <w:noProof/>
                    <w:lang w:val="en-US"/>
                  </w:rPr>
                  <w:t xml:space="preserve">Clinical Infectious Diseases, </w:t>
                </w:r>
                <w:r>
                  <w:rPr>
                    <w:noProof/>
                    <w:lang w:val="en-US"/>
                  </w:rPr>
                  <w:t xml:space="preserve">vol. 42, no. Supplement_2, pp. S82-S89, 16 12 2005. </w:t>
                </w:r>
              </w:p>
            </w:tc>
          </w:tr>
          <w:tr w:rsidR="009D5AC8" w14:paraId="346D6097" w14:textId="77777777">
            <w:trPr>
              <w:tblCellSpacing w:w="15" w:type="dxa"/>
            </w:trPr>
            <w:tc>
              <w:tcPr>
                <w:tcW w:w="50" w:type="pct"/>
                <w:hideMark/>
              </w:tcPr>
              <w:p w14:paraId="6E2A5C14" w14:textId="77777777" w:rsidR="009D5AC8" w:rsidRDefault="009D5AC8">
                <w:pPr>
                  <w:pStyle w:val="Bibliography"/>
                  <w:rPr>
                    <w:rFonts w:eastAsiaTheme="minorEastAsia"/>
                    <w:noProof/>
                    <w:lang w:val="en-US"/>
                  </w:rPr>
                </w:pPr>
                <w:r>
                  <w:rPr>
                    <w:noProof/>
                    <w:lang w:val="en-US"/>
                  </w:rPr>
                  <w:t xml:space="preserve">[3] </w:t>
                </w:r>
              </w:p>
            </w:tc>
            <w:tc>
              <w:tcPr>
                <w:tcW w:w="0" w:type="auto"/>
                <w:hideMark/>
              </w:tcPr>
              <w:p w14:paraId="6A1B4D32" w14:textId="77777777" w:rsidR="009D5AC8" w:rsidRDefault="009D5AC8">
                <w:pPr>
                  <w:pStyle w:val="Bibliography"/>
                  <w:rPr>
                    <w:rFonts w:eastAsiaTheme="minorEastAsia"/>
                    <w:noProof/>
                    <w:lang w:val="en-US"/>
                  </w:rPr>
                </w:pPr>
                <w:r>
                  <w:rPr>
                    <w:noProof/>
                    <w:lang w:val="en-US"/>
                  </w:rPr>
                  <w:t xml:space="preserve">R. D. Smith and J. Coast, "Antimicrobial resistance: a global response," </w:t>
                </w:r>
                <w:r>
                  <w:rPr>
                    <w:i/>
                    <w:iCs/>
                    <w:noProof/>
                    <w:lang w:val="en-US"/>
                  </w:rPr>
                  <w:t xml:space="preserve">Bulletin of the World Health Organization, </w:t>
                </w:r>
                <w:r>
                  <w:rPr>
                    <w:noProof/>
                    <w:lang w:val="en-US"/>
                  </w:rPr>
                  <w:t xml:space="preserve">vol. 80, pp. 126-133, 2002. </w:t>
                </w:r>
              </w:p>
            </w:tc>
          </w:tr>
          <w:tr w:rsidR="009D5AC8" w14:paraId="416CC2CC" w14:textId="77777777">
            <w:trPr>
              <w:tblCellSpacing w:w="15" w:type="dxa"/>
            </w:trPr>
            <w:tc>
              <w:tcPr>
                <w:tcW w:w="50" w:type="pct"/>
                <w:hideMark/>
              </w:tcPr>
              <w:p w14:paraId="631F4A22" w14:textId="77777777" w:rsidR="009D5AC8" w:rsidRDefault="009D5AC8">
                <w:pPr>
                  <w:pStyle w:val="Bibliography"/>
                  <w:rPr>
                    <w:rFonts w:eastAsiaTheme="minorEastAsia"/>
                    <w:noProof/>
                    <w:lang w:val="en-US"/>
                  </w:rPr>
                </w:pPr>
                <w:r>
                  <w:rPr>
                    <w:noProof/>
                    <w:lang w:val="en-US"/>
                  </w:rPr>
                  <w:t xml:space="preserve">[4] </w:t>
                </w:r>
              </w:p>
            </w:tc>
            <w:tc>
              <w:tcPr>
                <w:tcW w:w="0" w:type="auto"/>
                <w:hideMark/>
              </w:tcPr>
              <w:p w14:paraId="426BECEB" w14:textId="77777777" w:rsidR="009D5AC8" w:rsidRDefault="009D5AC8">
                <w:pPr>
                  <w:pStyle w:val="Bibliography"/>
                  <w:rPr>
                    <w:rFonts w:eastAsiaTheme="minorEastAsia"/>
                    <w:noProof/>
                    <w:lang w:val="en-US"/>
                  </w:rPr>
                </w:pPr>
                <w:r>
                  <w:rPr>
                    <w:noProof/>
                    <w:lang w:val="en-US"/>
                  </w:rPr>
                  <w:t xml:space="preserve">A. Sundsfjord and M. Steinbakk, "Article in The Lancet ·," 2015. </w:t>
                </w:r>
              </w:p>
            </w:tc>
          </w:tr>
          <w:tr w:rsidR="009D5AC8" w14:paraId="7EB1E177" w14:textId="77777777">
            <w:trPr>
              <w:tblCellSpacing w:w="15" w:type="dxa"/>
            </w:trPr>
            <w:tc>
              <w:tcPr>
                <w:tcW w:w="50" w:type="pct"/>
                <w:hideMark/>
              </w:tcPr>
              <w:p w14:paraId="0479D445" w14:textId="77777777" w:rsidR="009D5AC8" w:rsidRDefault="009D5AC8">
                <w:pPr>
                  <w:pStyle w:val="Bibliography"/>
                  <w:rPr>
                    <w:rFonts w:eastAsiaTheme="minorEastAsia"/>
                    <w:noProof/>
                    <w:lang w:val="en-US"/>
                  </w:rPr>
                </w:pPr>
                <w:r>
                  <w:rPr>
                    <w:noProof/>
                    <w:lang w:val="en-US"/>
                  </w:rPr>
                  <w:t xml:space="preserve">[5] </w:t>
                </w:r>
              </w:p>
            </w:tc>
            <w:tc>
              <w:tcPr>
                <w:tcW w:w="0" w:type="auto"/>
                <w:hideMark/>
              </w:tcPr>
              <w:p w14:paraId="50D10B78" w14:textId="77777777" w:rsidR="009D5AC8" w:rsidRDefault="009D5AC8">
                <w:pPr>
                  <w:pStyle w:val="Bibliography"/>
                  <w:rPr>
                    <w:rFonts w:eastAsiaTheme="minorEastAsia"/>
                    <w:noProof/>
                    <w:lang w:val="en-US"/>
                  </w:rPr>
                </w:pPr>
                <w:r>
                  <w:rPr>
                    <w:noProof/>
                    <w:lang w:val="en-US"/>
                  </w:rPr>
                  <w:t>"English Surveillance Programme for Antimicrobial Utilisation and Resistance (ESPAUR)," 2018.</w:t>
                </w:r>
              </w:p>
            </w:tc>
          </w:tr>
          <w:tr w:rsidR="009D5AC8" w14:paraId="46F89D0D" w14:textId="77777777">
            <w:trPr>
              <w:tblCellSpacing w:w="15" w:type="dxa"/>
            </w:trPr>
            <w:tc>
              <w:tcPr>
                <w:tcW w:w="50" w:type="pct"/>
                <w:hideMark/>
              </w:tcPr>
              <w:p w14:paraId="0923A17F" w14:textId="77777777" w:rsidR="009D5AC8" w:rsidRDefault="009D5AC8">
                <w:pPr>
                  <w:pStyle w:val="Bibliography"/>
                  <w:rPr>
                    <w:rFonts w:eastAsiaTheme="minorEastAsia"/>
                    <w:noProof/>
                    <w:lang w:val="en-US"/>
                  </w:rPr>
                </w:pPr>
                <w:r>
                  <w:rPr>
                    <w:noProof/>
                    <w:lang w:val="en-US"/>
                  </w:rPr>
                  <w:t xml:space="preserve">[6] </w:t>
                </w:r>
              </w:p>
            </w:tc>
            <w:tc>
              <w:tcPr>
                <w:tcW w:w="0" w:type="auto"/>
                <w:hideMark/>
              </w:tcPr>
              <w:p w14:paraId="36F74401" w14:textId="77777777" w:rsidR="009D5AC8" w:rsidRDefault="009D5AC8">
                <w:pPr>
                  <w:pStyle w:val="Bibliography"/>
                  <w:rPr>
                    <w:rFonts w:eastAsiaTheme="minorEastAsia"/>
                    <w:noProof/>
                    <w:lang w:val="en-US"/>
                  </w:rPr>
                </w:pPr>
                <w:r>
                  <w:rPr>
                    <w:noProof/>
                    <w:lang w:val="en-US"/>
                  </w:rPr>
                  <w:t>"Quality Premium: 2015/16 guidance for CCGs".</w:t>
                </w:r>
              </w:p>
            </w:tc>
          </w:tr>
          <w:tr w:rsidR="009D5AC8" w14:paraId="019091F7" w14:textId="77777777">
            <w:trPr>
              <w:tblCellSpacing w:w="15" w:type="dxa"/>
            </w:trPr>
            <w:tc>
              <w:tcPr>
                <w:tcW w:w="50" w:type="pct"/>
                <w:hideMark/>
              </w:tcPr>
              <w:p w14:paraId="4AADC886" w14:textId="77777777" w:rsidR="009D5AC8" w:rsidRDefault="009D5AC8">
                <w:pPr>
                  <w:pStyle w:val="Bibliography"/>
                  <w:rPr>
                    <w:rFonts w:eastAsiaTheme="minorEastAsia"/>
                    <w:noProof/>
                    <w:lang w:val="en-US"/>
                  </w:rPr>
                </w:pPr>
                <w:r>
                  <w:rPr>
                    <w:noProof/>
                    <w:lang w:val="en-US"/>
                  </w:rPr>
                  <w:t xml:space="preserve">[7] </w:t>
                </w:r>
              </w:p>
            </w:tc>
            <w:tc>
              <w:tcPr>
                <w:tcW w:w="0" w:type="auto"/>
                <w:hideMark/>
              </w:tcPr>
              <w:p w14:paraId="07F29D7E" w14:textId="77777777" w:rsidR="009D5AC8" w:rsidRDefault="009D5AC8">
                <w:pPr>
                  <w:pStyle w:val="Bibliography"/>
                  <w:rPr>
                    <w:rFonts w:eastAsiaTheme="minorEastAsia"/>
                    <w:noProof/>
                    <w:lang w:val="en-US"/>
                  </w:rPr>
                </w:pPr>
                <w:r>
                  <w:rPr>
                    <w:noProof/>
                    <w:lang w:val="en-US"/>
                  </w:rPr>
                  <w:t xml:space="preserve">A. P. Johnson, D. Ashiru-Oredope and E. Beech, "Antibiotic Stewardship Initiatives as Part of the UK 5-Year Antimicrobial Resistance Strategy.," </w:t>
                </w:r>
                <w:r>
                  <w:rPr>
                    <w:i/>
                    <w:iCs/>
                    <w:noProof/>
                    <w:lang w:val="en-US"/>
                  </w:rPr>
                  <w:t xml:space="preserve">Antibiotics (Basel, Switzerland), </w:t>
                </w:r>
                <w:r>
                  <w:rPr>
                    <w:noProof/>
                    <w:lang w:val="en-US"/>
                  </w:rPr>
                  <w:t xml:space="preserve">vol. 4, no. 4, pp. 467-79, 30 10 2015. </w:t>
                </w:r>
              </w:p>
            </w:tc>
          </w:tr>
          <w:tr w:rsidR="009D5AC8" w14:paraId="2B7EFD19" w14:textId="77777777">
            <w:trPr>
              <w:tblCellSpacing w:w="15" w:type="dxa"/>
            </w:trPr>
            <w:tc>
              <w:tcPr>
                <w:tcW w:w="50" w:type="pct"/>
                <w:hideMark/>
              </w:tcPr>
              <w:p w14:paraId="223C6422" w14:textId="77777777" w:rsidR="009D5AC8" w:rsidRDefault="009D5AC8">
                <w:pPr>
                  <w:pStyle w:val="Bibliography"/>
                  <w:rPr>
                    <w:rFonts w:eastAsiaTheme="minorEastAsia"/>
                    <w:noProof/>
                    <w:lang w:val="en-US"/>
                  </w:rPr>
                </w:pPr>
                <w:r>
                  <w:rPr>
                    <w:noProof/>
                    <w:lang w:val="en-US"/>
                  </w:rPr>
                  <w:t xml:space="preserve">[8] </w:t>
                </w:r>
              </w:p>
            </w:tc>
            <w:tc>
              <w:tcPr>
                <w:tcW w:w="0" w:type="auto"/>
                <w:hideMark/>
              </w:tcPr>
              <w:p w14:paraId="01DA370F" w14:textId="77777777" w:rsidR="009D5AC8" w:rsidRDefault="009D5AC8">
                <w:pPr>
                  <w:pStyle w:val="Bibliography"/>
                  <w:rPr>
                    <w:rFonts w:eastAsiaTheme="minorEastAsia"/>
                    <w:noProof/>
                    <w:lang w:val="en-US"/>
                  </w:rPr>
                </w:pPr>
                <w:r>
                  <w:rPr>
                    <w:noProof/>
                    <w:lang w:val="en-US"/>
                  </w:rPr>
                  <w:t>"The UK's five-year national action plan," 2019.</w:t>
                </w:r>
              </w:p>
            </w:tc>
          </w:tr>
          <w:tr w:rsidR="009D5AC8" w14:paraId="6F2FF29F" w14:textId="77777777">
            <w:trPr>
              <w:tblCellSpacing w:w="15" w:type="dxa"/>
            </w:trPr>
            <w:tc>
              <w:tcPr>
                <w:tcW w:w="50" w:type="pct"/>
                <w:hideMark/>
              </w:tcPr>
              <w:p w14:paraId="41C08495" w14:textId="77777777" w:rsidR="009D5AC8" w:rsidRDefault="009D5AC8">
                <w:pPr>
                  <w:pStyle w:val="Bibliography"/>
                  <w:rPr>
                    <w:rFonts w:eastAsiaTheme="minorEastAsia"/>
                    <w:noProof/>
                    <w:lang w:val="en-US"/>
                  </w:rPr>
                </w:pPr>
                <w:r>
                  <w:rPr>
                    <w:noProof/>
                    <w:lang w:val="en-US"/>
                  </w:rPr>
                  <w:t xml:space="preserve">[9] </w:t>
                </w:r>
              </w:p>
            </w:tc>
            <w:tc>
              <w:tcPr>
                <w:tcW w:w="0" w:type="auto"/>
                <w:hideMark/>
              </w:tcPr>
              <w:p w14:paraId="11AB2ED2" w14:textId="77777777" w:rsidR="009D5AC8" w:rsidRDefault="009D5AC8">
                <w:pPr>
                  <w:pStyle w:val="Bibliography"/>
                  <w:rPr>
                    <w:rFonts w:eastAsiaTheme="minorEastAsia"/>
                    <w:noProof/>
                    <w:lang w:val="en-US"/>
                  </w:rPr>
                </w:pPr>
                <w:r>
                  <w:rPr>
                    <w:noProof/>
                    <w:lang w:val="en-US"/>
                  </w:rPr>
                  <w:t>"Investment and evolution: A five-year framework for GP contract reform to implement The NHS Long Term Plan," 2019.</w:t>
                </w:r>
              </w:p>
            </w:tc>
          </w:tr>
          <w:tr w:rsidR="009D5AC8" w14:paraId="151F21ED" w14:textId="77777777">
            <w:trPr>
              <w:tblCellSpacing w:w="15" w:type="dxa"/>
            </w:trPr>
            <w:tc>
              <w:tcPr>
                <w:tcW w:w="50" w:type="pct"/>
                <w:hideMark/>
              </w:tcPr>
              <w:p w14:paraId="1D7BB0C7" w14:textId="77777777" w:rsidR="009D5AC8" w:rsidRDefault="009D5AC8">
                <w:pPr>
                  <w:pStyle w:val="Bibliography"/>
                  <w:rPr>
                    <w:rFonts w:eastAsiaTheme="minorEastAsia"/>
                    <w:noProof/>
                    <w:lang w:val="en-US"/>
                  </w:rPr>
                </w:pPr>
                <w:r>
                  <w:rPr>
                    <w:noProof/>
                    <w:lang w:val="en-US"/>
                  </w:rPr>
                  <w:t xml:space="preserve">[10] </w:t>
                </w:r>
              </w:p>
            </w:tc>
            <w:tc>
              <w:tcPr>
                <w:tcW w:w="0" w:type="auto"/>
                <w:hideMark/>
              </w:tcPr>
              <w:p w14:paraId="2D39953D" w14:textId="77777777" w:rsidR="009D5AC8" w:rsidRDefault="009D5AC8">
                <w:pPr>
                  <w:pStyle w:val="Bibliography"/>
                  <w:rPr>
                    <w:rFonts w:eastAsiaTheme="minorEastAsia"/>
                    <w:noProof/>
                    <w:lang w:val="en-US"/>
                  </w:rPr>
                </w:pPr>
                <w:r>
                  <w:rPr>
                    <w:noProof/>
                    <w:lang w:val="en-US"/>
                  </w:rPr>
                  <w:t>"GENERAL PRACTICE FORWARD VIEW," 2016.</w:t>
                </w:r>
              </w:p>
            </w:tc>
          </w:tr>
          <w:tr w:rsidR="009D5AC8" w14:paraId="1DA10E83" w14:textId="77777777">
            <w:trPr>
              <w:tblCellSpacing w:w="15" w:type="dxa"/>
            </w:trPr>
            <w:tc>
              <w:tcPr>
                <w:tcW w:w="50" w:type="pct"/>
                <w:hideMark/>
              </w:tcPr>
              <w:p w14:paraId="66652FA0" w14:textId="77777777" w:rsidR="009D5AC8" w:rsidRDefault="009D5AC8">
                <w:pPr>
                  <w:pStyle w:val="Bibliography"/>
                  <w:rPr>
                    <w:rFonts w:eastAsiaTheme="minorEastAsia"/>
                    <w:noProof/>
                    <w:lang w:val="en-US"/>
                  </w:rPr>
                </w:pPr>
                <w:r>
                  <w:rPr>
                    <w:noProof/>
                    <w:lang w:val="en-US"/>
                  </w:rPr>
                  <w:lastRenderedPageBreak/>
                  <w:t xml:space="preserve">[11] </w:t>
                </w:r>
              </w:p>
            </w:tc>
            <w:tc>
              <w:tcPr>
                <w:tcW w:w="0" w:type="auto"/>
                <w:hideMark/>
              </w:tcPr>
              <w:p w14:paraId="52E1059C" w14:textId="77777777" w:rsidR="009D5AC8" w:rsidRDefault="009D5AC8">
                <w:pPr>
                  <w:pStyle w:val="Bibliography"/>
                  <w:rPr>
                    <w:rFonts w:eastAsiaTheme="minorEastAsia"/>
                    <w:noProof/>
                    <w:lang w:val="en-US"/>
                  </w:rPr>
                </w:pPr>
                <w:r>
                  <w:rPr>
                    <w:noProof/>
                    <w:lang w:val="en-US"/>
                  </w:rPr>
                  <w:t>"Technical Guidance Annex B Information on Quality Premium".</w:t>
                </w:r>
              </w:p>
            </w:tc>
          </w:tr>
          <w:tr w:rsidR="009D5AC8" w14:paraId="60365545" w14:textId="77777777">
            <w:trPr>
              <w:tblCellSpacing w:w="15" w:type="dxa"/>
            </w:trPr>
            <w:tc>
              <w:tcPr>
                <w:tcW w:w="50" w:type="pct"/>
                <w:hideMark/>
              </w:tcPr>
              <w:p w14:paraId="46B66D17" w14:textId="77777777" w:rsidR="009D5AC8" w:rsidRDefault="009D5AC8">
                <w:pPr>
                  <w:pStyle w:val="Bibliography"/>
                  <w:rPr>
                    <w:rFonts w:eastAsiaTheme="minorEastAsia"/>
                    <w:noProof/>
                    <w:lang w:val="en-US"/>
                  </w:rPr>
                </w:pPr>
                <w:r>
                  <w:rPr>
                    <w:noProof/>
                    <w:lang w:val="en-US"/>
                  </w:rPr>
                  <w:t xml:space="preserve">[12] </w:t>
                </w:r>
              </w:p>
            </w:tc>
            <w:tc>
              <w:tcPr>
                <w:tcW w:w="0" w:type="auto"/>
                <w:hideMark/>
              </w:tcPr>
              <w:p w14:paraId="5F83D95B" w14:textId="77777777" w:rsidR="009D5AC8" w:rsidRDefault="009D5AC8">
                <w:pPr>
                  <w:pStyle w:val="Bibliography"/>
                  <w:rPr>
                    <w:rFonts w:eastAsiaTheme="minorEastAsia"/>
                    <w:noProof/>
                    <w:lang w:val="en-US"/>
                  </w:rPr>
                </w:pPr>
                <w:r>
                  <w:rPr>
                    <w:noProof/>
                    <w:lang w:val="en-US"/>
                  </w:rPr>
                  <w:t xml:space="preserve">M. Courtenay, D. Gillespie and R. Lim, "Patterns of dispensed non-medical prescriber prescriptions for antibiotics in primary care across England: a retrospective analysis," </w:t>
                </w:r>
                <w:r>
                  <w:rPr>
                    <w:i/>
                    <w:iCs/>
                    <w:noProof/>
                    <w:lang w:val="en-US"/>
                  </w:rPr>
                  <w:t xml:space="preserve">Journal of Antimicrobial Chemotherapy, </w:t>
                </w:r>
                <w:r>
                  <w:rPr>
                    <w:noProof/>
                    <w:lang w:val="en-US"/>
                  </w:rPr>
                  <w:t xml:space="preserve">vol. 72, no. 10, pp. 2915-2920, 1 10 2017. </w:t>
                </w:r>
              </w:p>
            </w:tc>
          </w:tr>
          <w:tr w:rsidR="009D5AC8" w14:paraId="04349E39" w14:textId="77777777">
            <w:trPr>
              <w:tblCellSpacing w:w="15" w:type="dxa"/>
            </w:trPr>
            <w:tc>
              <w:tcPr>
                <w:tcW w:w="50" w:type="pct"/>
                <w:hideMark/>
              </w:tcPr>
              <w:p w14:paraId="1F721069" w14:textId="77777777" w:rsidR="009D5AC8" w:rsidRDefault="009D5AC8">
                <w:pPr>
                  <w:pStyle w:val="Bibliography"/>
                  <w:rPr>
                    <w:rFonts w:eastAsiaTheme="minorEastAsia"/>
                    <w:noProof/>
                    <w:lang w:val="en-US"/>
                  </w:rPr>
                </w:pPr>
                <w:r>
                  <w:rPr>
                    <w:noProof/>
                    <w:lang w:val="en-US"/>
                  </w:rPr>
                  <w:t xml:space="preserve">[13] </w:t>
                </w:r>
              </w:p>
            </w:tc>
            <w:tc>
              <w:tcPr>
                <w:tcW w:w="0" w:type="auto"/>
                <w:hideMark/>
              </w:tcPr>
              <w:p w14:paraId="75EC4589" w14:textId="77777777" w:rsidR="009D5AC8" w:rsidRDefault="009D5AC8">
                <w:pPr>
                  <w:pStyle w:val="Bibliography"/>
                  <w:rPr>
                    <w:rFonts w:eastAsiaTheme="minorEastAsia"/>
                    <w:noProof/>
                    <w:lang w:val="en-US"/>
                  </w:rPr>
                </w:pPr>
                <w:r>
                  <w:rPr>
                    <w:noProof/>
                    <w:lang w:val="en-US"/>
                  </w:rPr>
                  <w:t>C. Mann, C. Anderson, A. J. Avery, J. Waring and M. J. Boyd, "Clinical Pharmacists in General Practice: Pilot scheme Independent Evaluation Report: Full Report National Evaluation of Clinical Pharmacists in GP Practices (Pilot Phase) | 1," 2018.</w:t>
                </w:r>
              </w:p>
            </w:tc>
          </w:tr>
          <w:tr w:rsidR="009D5AC8" w14:paraId="1916188D" w14:textId="77777777">
            <w:trPr>
              <w:tblCellSpacing w:w="15" w:type="dxa"/>
            </w:trPr>
            <w:tc>
              <w:tcPr>
                <w:tcW w:w="50" w:type="pct"/>
                <w:hideMark/>
              </w:tcPr>
              <w:p w14:paraId="71A69126" w14:textId="77777777" w:rsidR="009D5AC8" w:rsidRDefault="009D5AC8">
                <w:pPr>
                  <w:pStyle w:val="Bibliography"/>
                  <w:rPr>
                    <w:rFonts w:eastAsiaTheme="minorEastAsia"/>
                    <w:noProof/>
                    <w:lang w:val="en-US"/>
                  </w:rPr>
                </w:pPr>
                <w:r>
                  <w:rPr>
                    <w:noProof/>
                    <w:lang w:val="en-US"/>
                  </w:rPr>
                  <w:t xml:space="preserve">[14] </w:t>
                </w:r>
              </w:p>
            </w:tc>
            <w:tc>
              <w:tcPr>
                <w:tcW w:w="0" w:type="auto"/>
                <w:hideMark/>
              </w:tcPr>
              <w:p w14:paraId="1E1B5199" w14:textId="77777777" w:rsidR="009D5AC8" w:rsidRDefault="009D5AC8">
                <w:pPr>
                  <w:pStyle w:val="Bibliography"/>
                  <w:rPr>
                    <w:rFonts w:eastAsiaTheme="minorEastAsia"/>
                    <w:noProof/>
                    <w:lang w:val="en-US"/>
                  </w:rPr>
                </w:pPr>
                <w:r>
                  <w:rPr>
                    <w:noProof/>
                    <w:lang w:val="en-US"/>
                  </w:rPr>
                  <w:t xml:space="preserve">H. J. Wickens, S. Farrell, D. A. Ashiru-Oredope, A. Jacklin and A. Holmes, "The increasing role of pharmacists in antimicrobial stewardship in english hospitals," </w:t>
                </w:r>
                <w:r>
                  <w:rPr>
                    <w:i/>
                    <w:iCs/>
                    <w:noProof/>
                    <w:lang w:val="en-US"/>
                  </w:rPr>
                  <w:t xml:space="preserve">Journal of Antimicrobial Chemotherapy, </w:t>
                </w:r>
                <w:r>
                  <w:rPr>
                    <w:noProof/>
                    <w:lang w:val="en-US"/>
                  </w:rPr>
                  <w:t xml:space="preserve">vol. 68, no. 11, pp. 2675-2681, 11 2013. </w:t>
                </w:r>
              </w:p>
            </w:tc>
          </w:tr>
          <w:tr w:rsidR="009D5AC8" w14:paraId="26B0165B" w14:textId="77777777">
            <w:trPr>
              <w:tblCellSpacing w:w="15" w:type="dxa"/>
            </w:trPr>
            <w:tc>
              <w:tcPr>
                <w:tcW w:w="50" w:type="pct"/>
                <w:hideMark/>
              </w:tcPr>
              <w:p w14:paraId="7FB89503" w14:textId="77777777" w:rsidR="009D5AC8" w:rsidRDefault="009D5AC8">
                <w:pPr>
                  <w:pStyle w:val="Bibliography"/>
                  <w:rPr>
                    <w:rFonts w:eastAsiaTheme="minorEastAsia"/>
                    <w:noProof/>
                    <w:lang w:val="en-US"/>
                  </w:rPr>
                </w:pPr>
                <w:r>
                  <w:rPr>
                    <w:noProof/>
                    <w:lang w:val="en-US"/>
                  </w:rPr>
                  <w:t xml:space="preserve">[15] </w:t>
                </w:r>
              </w:p>
            </w:tc>
            <w:tc>
              <w:tcPr>
                <w:tcW w:w="0" w:type="auto"/>
                <w:hideMark/>
              </w:tcPr>
              <w:p w14:paraId="67399258" w14:textId="77777777" w:rsidR="009D5AC8" w:rsidRDefault="009D5AC8">
                <w:pPr>
                  <w:pStyle w:val="Bibliography"/>
                  <w:rPr>
                    <w:rFonts w:eastAsiaTheme="minorEastAsia"/>
                    <w:noProof/>
                    <w:lang w:val="en-US"/>
                  </w:rPr>
                </w:pPr>
                <w:r>
                  <w:rPr>
                    <w:noProof/>
                    <w:lang w:val="en-US"/>
                  </w:rPr>
                  <w:t xml:space="preserve">K. Hand, "Antibiotic pharmacists in the ascendancy," </w:t>
                </w:r>
                <w:r>
                  <w:rPr>
                    <w:i/>
                    <w:iCs/>
                    <w:noProof/>
                    <w:lang w:val="en-US"/>
                  </w:rPr>
                  <w:t xml:space="preserve">Journal of Antimicrobial Chemotherapy, </w:t>
                </w:r>
                <w:r>
                  <w:rPr>
                    <w:noProof/>
                    <w:lang w:val="en-US"/>
                  </w:rPr>
                  <w:t xml:space="preserve">vol. 60, no. SUPPL. 1, 8 2007. </w:t>
                </w:r>
              </w:p>
            </w:tc>
          </w:tr>
          <w:tr w:rsidR="009D5AC8" w14:paraId="1ED6FD8A" w14:textId="77777777">
            <w:trPr>
              <w:tblCellSpacing w:w="15" w:type="dxa"/>
            </w:trPr>
            <w:tc>
              <w:tcPr>
                <w:tcW w:w="50" w:type="pct"/>
                <w:hideMark/>
              </w:tcPr>
              <w:p w14:paraId="4C567979" w14:textId="77777777" w:rsidR="009D5AC8" w:rsidRDefault="009D5AC8">
                <w:pPr>
                  <w:pStyle w:val="Bibliography"/>
                  <w:rPr>
                    <w:rFonts w:eastAsiaTheme="minorEastAsia"/>
                    <w:noProof/>
                    <w:lang w:val="en-US"/>
                  </w:rPr>
                </w:pPr>
                <w:r>
                  <w:rPr>
                    <w:noProof/>
                    <w:lang w:val="en-US"/>
                  </w:rPr>
                  <w:t xml:space="preserve">[16] </w:t>
                </w:r>
              </w:p>
            </w:tc>
            <w:tc>
              <w:tcPr>
                <w:tcW w:w="0" w:type="auto"/>
                <w:hideMark/>
              </w:tcPr>
              <w:p w14:paraId="2C7EFDAF" w14:textId="77777777" w:rsidR="009D5AC8" w:rsidRDefault="009D5AC8">
                <w:pPr>
                  <w:pStyle w:val="Bibliography"/>
                  <w:rPr>
                    <w:rFonts w:eastAsiaTheme="minorEastAsia"/>
                    <w:noProof/>
                    <w:lang w:val="en-US"/>
                  </w:rPr>
                </w:pPr>
                <w:r>
                  <w:rPr>
                    <w:noProof/>
                    <w:lang w:val="en-US"/>
                  </w:rPr>
                  <w:t xml:space="preserve">M. Gilchrist, P. Wade, D. Ashiru-Oredope, P. Howard, J. Sneddon, L. Whitney and H. Wickens, "Antimicrobial Stewardship from Policy to Practice: Experiences from UK Antimicrobial Pharmacists," </w:t>
                </w:r>
                <w:r>
                  <w:rPr>
                    <w:i/>
                    <w:iCs/>
                    <w:noProof/>
                    <w:lang w:val="en-US"/>
                  </w:rPr>
                  <w:t xml:space="preserve">Infectious Diseases and Therapy, </w:t>
                </w:r>
                <w:r>
                  <w:rPr>
                    <w:noProof/>
                    <w:lang w:val="en-US"/>
                  </w:rPr>
                  <w:t xml:space="preserve">vol. 4, no. S1, pp. 51-64, 11 9 2015. </w:t>
                </w:r>
              </w:p>
            </w:tc>
          </w:tr>
          <w:tr w:rsidR="009D5AC8" w14:paraId="1A69ACB7" w14:textId="77777777">
            <w:trPr>
              <w:tblCellSpacing w:w="15" w:type="dxa"/>
            </w:trPr>
            <w:tc>
              <w:tcPr>
                <w:tcW w:w="50" w:type="pct"/>
                <w:hideMark/>
              </w:tcPr>
              <w:p w14:paraId="38C95E3E" w14:textId="77777777" w:rsidR="009D5AC8" w:rsidRDefault="009D5AC8">
                <w:pPr>
                  <w:pStyle w:val="Bibliography"/>
                  <w:rPr>
                    <w:rFonts w:eastAsiaTheme="minorEastAsia"/>
                    <w:noProof/>
                    <w:lang w:val="en-US"/>
                  </w:rPr>
                </w:pPr>
                <w:r>
                  <w:rPr>
                    <w:noProof/>
                    <w:lang w:val="en-US"/>
                  </w:rPr>
                  <w:t xml:space="preserve">[17] </w:t>
                </w:r>
              </w:p>
            </w:tc>
            <w:tc>
              <w:tcPr>
                <w:tcW w:w="0" w:type="auto"/>
                <w:hideMark/>
              </w:tcPr>
              <w:p w14:paraId="20313276" w14:textId="77777777" w:rsidR="009D5AC8" w:rsidRDefault="009D5AC8">
                <w:pPr>
                  <w:pStyle w:val="Bibliography"/>
                  <w:rPr>
                    <w:rFonts w:eastAsiaTheme="minorEastAsia"/>
                    <w:noProof/>
                    <w:lang w:val="en-US"/>
                  </w:rPr>
                </w:pPr>
                <w:r>
                  <w:rPr>
                    <w:noProof/>
                    <w:lang w:val="en-US"/>
                  </w:rPr>
                  <w:t xml:space="preserve">"Pharmacy’s role in antimicrobial resistance and stewardship," </w:t>
                </w:r>
                <w:r>
                  <w:rPr>
                    <w:i/>
                    <w:iCs/>
                    <w:noProof/>
                    <w:lang w:val="en-US"/>
                  </w:rPr>
                  <w:t xml:space="preserve">Clinical Pharmacist, </w:t>
                </w:r>
                <w:r>
                  <w:rPr>
                    <w:noProof/>
                    <w:lang w:val="en-US"/>
                  </w:rPr>
                  <w:t xml:space="preserve">2018. </w:t>
                </w:r>
              </w:p>
            </w:tc>
          </w:tr>
          <w:tr w:rsidR="009D5AC8" w14:paraId="2D3110EA" w14:textId="77777777">
            <w:trPr>
              <w:tblCellSpacing w:w="15" w:type="dxa"/>
            </w:trPr>
            <w:tc>
              <w:tcPr>
                <w:tcW w:w="50" w:type="pct"/>
                <w:hideMark/>
              </w:tcPr>
              <w:p w14:paraId="6313A5C5" w14:textId="77777777" w:rsidR="009D5AC8" w:rsidRDefault="009D5AC8">
                <w:pPr>
                  <w:pStyle w:val="Bibliography"/>
                  <w:rPr>
                    <w:rFonts w:eastAsiaTheme="minorEastAsia"/>
                    <w:noProof/>
                    <w:lang w:val="en-US"/>
                  </w:rPr>
                </w:pPr>
                <w:r>
                  <w:rPr>
                    <w:noProof/>
                    <w:lang w:val="en-US"/>
                  </w:rPr>
                  <w:t xml:space="preserve">[18] </w:t>
                </w:r>
              </w:p>
            </w:tc>
            <w:tc>
              <w:tcPr>
                <w:tcW w:w="0" w:type="auto"/>
                <w:hideMark/>
              </w:tcPr>
              <w:p w14:paraId="03CB66BD" w14:textId="77777777" w:rsidR="009D5AC8" w:rsidRDefault="009D5AC8">
                <w:pPr>
                  <w:pStyle w:val="Bibliography"/>
                  <w:rPr>
                    <w:rFonts w:eastAsiaTheme="minorEastAsia"/>
                    <w:noProof/>
                    <w:lang w:val="en-US"/>
                  </w:rPr>
                </w:pPr>
                <w:r>
                  <w:rPr>
                    <w:noProof/>
                    <w:lang w:val="en-US"/>
                  </w:rPr>
                  <w:t>"Behaviour change and antibiotic prescribing in healthcare settings Literature review and behavioural analysis," 2015.</w:t>
                </w:r>
              </w:p>
            </w:tc>
          </w:tr>
          <w:tr w:rsidR="009D5AC8" w14:paraId="3EE57F91" w14:textId="77777777">
            <w:trPr>
              <w:tblCellSpacing w:w="15" w:type="dxa"/>
            </w:trPr>
            <w:tc>
              <w:tcPr>
                <w:tcW w:w="50" w:type="pct"/>
                <w:hideMark/>
              </w:tcPr>
              <w:p w14:paraId="4E62B9F2" w14:textId="77777777" w:rsidR="009D5AC8" w:rsidRDefault="009D5AC8">
                <w:pPr>
                  <w:pStyle w:val="Bibliography"/>
                  <w:rPr>
                    <w:rFonts w:eastAsiaTheme="minorEastAsia"/>
                    <w:noProof/>
                    <w:lang w:val="en-US"/>
                  </w:rPr>
                </w:pPr>
                <w:r>
                  <w:rPr>
                    <w:noProof/>
                    <w:lang w:val="en-US"/>
                  </w:rPr>
                  <w:t xml:space="preserve">[19] </w:t>
                </w:r>
              </w:p>
            </w:tc>
            <w:tc>
              <w:tcPr>
                <w:tcW w:w="0" w:type="auto"/>
                <w:hideMark/>
              </w:tcPr>
              <w:p w14:paraId="3C846A0E" w14:textId="77777777" w:rsidR="009D5AC8" w:rsidRDefault="009D5AC8">
                <w:pPr>
                  <w:pStyle w:val="Bibliography"/>
                  <w:rPr>
                    <w:rFonts w:eastAsiaTheme="minorEastAsia"/>
                    <w:noProof/>
                    <w:lang w:val="en-US"/>
                  </w:rPr>
                </w:pPr>
                <w:r>
                  <w:rPr>
                    <w:noProof/>
                    <w:lang w:val="en-US"/>
                  </w:rPr>
                  <w:t>"NHS England » Clinical pharmacists vital to patient care in five-year GP deal," [Online]. Available: https://www.england.nhs.uk/2019/01/clinical-pharmacists-vital-to-patient-care-in-five-year-gp-deal/.</w:t>
                </w:r>
              </w:p>
            </w:tc>
          </w:tr>
          <w:tr w:rsidR="009D5AC8" w14:paraId="23AD2906" w14:textId="77777777">
            <w:trPr>
              <w:tblCellSpacing w:w="15" w:type="dxa"/>
            </w:trPr>
            <w:tc>
              <w:tcPr>
                <w:tcW w:w="50" w:type="pct"/>
                <w:hideMark/>
              </w:tcPr>
              <w:p w14:paraId="055BA769" w14:textId="77777777" w:rsidR="009D5AC8" w:rsidRDefault="009D5AC8">
                <w:pPr>
                  <w:pStyle w:val="Bibliography"/>
                  <w:rPr>
                    <w:rFonts w:eastAsiaTheme="minorEastAsia"/>
                    <w:noProof/>
                    <w:lang w:val="en-US"/>
                  </w:rPr>
                </w:pPr>
                <w:r>
                  <w:rPr>
                    <w:noProof/>
                    <w:lang w:val="en-US"/>
                  </w:rPr>
                  <w:t xml:space="preserve">[20] </w:t>
                </w:r>
              </w:p>
            </w:tc>
            <w:tc>
              <w:tcPr>
                <w:tcW w:w="0" w:type="auto"/>
                <w:hideMark/>
              </w:tcPr>
              <w:p w14:paraId="2832106F" w14:textId="77777777" w:rsidR="009D5AC8" w:rsidRDefault="009D5AC8">
                <w:pPr>
                  <w:pStyle w:val="Bibliography"/>
                  <w:rPr>
                    <w:rFonts w:eastAsiaTheme="minorEastAsia"/>
                    <w:noProof/>
                    <w:lang w:val="en-US"/>
                  </w:rPr>
                </w:pPr>
                <w:r>
                  <w:rPr>
                    <w:noProof/>
                    <w:lang w:val="en-US"/>
                  </w:rPr>
                  <w:t xml:space="preserve">E. Castro-Sánchez, L. N. Drumright, M. Gharbi, S. Farrell and A. H. Holmes, "Mapping Antimicrobial Stewardship in Undergraduate Medical, Dental, Pharmacy, Nursing and Veterinary Education in the United Kingdom," </w:t>
                </w:r>
                <w:r>
                  <w:rPr>
                    <w:i/>
                    <w:iCs/>
                    <w:noProof/>
                    <w:lang w:val="en-US"/>
                  </w:rPr>
                  <w:t xml:space="preserve">PLOS ONE, </w:t>
                </w:r>
                <w:r>
                  <w:rPr>
                    <w:noProof/>
                    <w:lang w:val="en-US"/>
                  </w:rPr>
                  <w:t xml:space="preserve">vol. 11, no. 2, p. e0150056, 29 2 2016. </w:t>
                </w:r>
              </w:p>
            </w:tc>
          </w:tr>
        </w:tbl>
        <w:p w14:paraId="450B9595" w14:textId="77777777" w:rsidR="009D5AC8" w:rsidRDefault="009D5AC8">
          <w:pPr>
            <w:rPr>
              <w:rFonts w:eastAsia="Times New Roman"/>
              <w:noProof/>
            </w:rPr>
          </w:pPr>
        </w:p>
        <w:p w14:paraId="68765D21" w14:textId="77777777" w:rsidR="009D5AC8" w:rsidRDefault="009D5AC8">
          <w:r>
            <w:rPr>
              <w:b/>
              <w:bCs/>
            </w:rPr>
            <w:fldChar w:fldCharType="end"/>
          </w:r>
        </w:p>
      </w:sdtContent>
    </w:sdt>
    <w:p w14:paraId="1FDF9953" w14:textId="77777777" w:rsidR="009D5AC8" w:rsidRDefault="009D5AC8" w:rsidP="004970CA"/>
    <w:p w14:paraId="6009D2ED" w14:textId="77777777" w:rsidR="009D5AC8" w:rsidRDefault="009D5AC8" w:rsidP="004970CA"/>
    <w:sectPr w:rsidR="009D5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6E"/>
    <w:rsid w:val="00012EE5"/>
    <w:rsid w:val="000335A7"/>
    <w:rsid w:val="00092E59"/>
    <w:rsid w:val="000975C0"/>
    <w:rsid w:val="000A6536"/>
    <w:rsid w:val="000E0444"/>
    <w:rsid w:val="00132864"/>
    <w:rsid w:val="00147234"/>
    <w:rsid w:val="00166439"/>
    <w:rsid w:val="00170237"/>
    <w:rsid w:val="001A7B35"/>
    <w:rsid w:val="00201B30"/>
    <w:rsid w:val="00205A56"/>
    <w:rsid w:val="00251A4E"/>
    <w:rsid w:val="002B322D"/>
    <w:rsid w:val="002C3BE3"/>
    <w:rsid w:val="002D7E9B"/>
    <w:rsid w:val="00320226"/>
    <w:rsid w:val="0034715C"/>
    <w:rsid w:val="00352A8D"/>
    <w:rsid w:val="003614F4"/>
    <w:rsid w:val="003B1580"/>
    <w:rsid w:val="003B7712"/>
    <w:rsid w:val="003C358E"/>
    <w:rsid w:val="003E63B4"/>
    <w:rsid w:val="004853A7"/>
    <w:rsid w:val="004933CF"/>
    <w:rsid w:val="00494FF7"/>
    <w:rsid w:val="004970CA"/>
    <w:rsid w:val="004A1453"/>
    <w:rsid w:val="004A2363"/>
    <w:rsid w:val="004B0009"/>
    <w:rsid w:val="004B37BE"/>
    <w:rsid w:val="004F117C"/>
    <w:rsid w:val="004F6FE4"/>
    <w:rsid w:val="00513732"/>
    <w:rsid w:val="005221D8"/>
    <w:rsid w:val="00540B3F"/>
    <w:rsid w:val="00543AE1"/>
    <w:rsid w:val="00561B00"/>
    <w:rsid w:val="00573960"/>
    <w:rsid w:val="00574C10"/>
    <w:rsid w:val="005A45EF"/>
    <w:rsid w:val="005E72E3"/>
    <w:rsid w:val="00612A12"/>
    <w:rsid w:val="006271B1"/>
    <w:rsid w:val="00642593"/>
    <w:rsid w:val="00671E7C"/>
    <w:rsid w:val="006A6921"/>
    <w:rsid w:val="006A72BD"/>
    <w:rsid w:val="006C7980"/>
    <w:rsid w:val="00715E72"/>
    <w:rsid w:val="00724FFD"/>
    <w:rsid w:val="00730297"/>
    <w:rsid w:val="00735A04"/>
    <w:rsid w:val="0078234D"/>
    <w:rsid w:val="007933B0"/>
    <w:rsid w:val="007C49C5"/>
    <w:rsid w:val="007D32CE"/>
    <w:rsid w:val="008054FC"/>
    <w:rsid w:val="00862BF9"/>
    <w:rsid w:val="008866E2"/>
    <w:rsid w:val="008975F4"/>
    <w:rsid w:val="008C7B01"/>
    <w:rsid w:val="008D09A3"/>
    <w:rsid w:val="008F061A"/>
    <w:rsid w:val="009470CB"/>
    <w:rsid w:val="009953E1"/>
    <w:rsid w:val="009A2880"/>
    <w:rsid w:val="009D0EC4"/>
    <w:rsid w:val="009D5AC8"/>
    <w:rsid w:val="009E6C34"/>
    <w:rsid w:val="00A023D2"/>
    <w:rsid w:val="00A25FD4"/>
    <w:rsid w:val="00A32E55"/>
    <w:rsid w:val="00A61D40"/>
    <w:rsid w:val="00A7226C"/>
    <w:rsid w:val="00A72A1C"/>
    <w:rsid w:val="00A82FEF"/>
    <w:rsid w:val="00A8460E"/>
    <w:rsid w:val="00A95A9B"/>
    <w:rsid w:val="00AB7080"/>
    <w:rsid w:val="00B13EEA"/>
    <w:rsid w:val="00B30E78"/>
    <w:rsid w:val="00B40820"/>
    <w:rsid w:val="00B50790"/>
    <w:rsid w:val="00B63DBB"/>
    <w:rsid w:val="00B63E46"/>
    <w:rsid w:val="00B81B19"/>
    <w:rsid w:val="00B84BC2"/>
    <w:rsid w:val="00BB6B2B"/>
    <w:rsid w:val="00BC5662"/>
    <w:rsid w:val="00BD0D4D"/>
    <w:rsid w:val="00BE24EB"/>
    <w:rsid w:val="00C226F6"/>
    <w:rsid w:val="00C602E5"/>
    <w:rsid w:val="00C66117"/>
    <w:rsid w:val="00C71410"/>
    <w:rsid w:val="00C72C69"/>
    <w:rsid w:val="00C84F46"/>
    <w:rsid w:val="00C86D59"/>
    <w:rsid w:val="00C92604"/>
    <w:rsid w:val="00C96B2B"/>
    <w:rsid w:val="00CB6C36"/>
    <w:rsid w:val="00CD4762"/>
    <w:rsid w:val="00CE10CB"/>
    <w:rsid w:val="00CF0520"/>
    <w:rsid w:val="00CF070C"/>
    <w:rsid w:val="00CF0E8D"/>
    <w:rsid w:val="00CF71EB"/>
    <w:rsid w:val="00D26A6E"/>
    <w:rsid w:val="00D35BBA"/>
    <w:rsid w:val="00D70EC1"/>
    <w:rsid w:val="00D7659E"/>
    <w:rsid w:val="00DA29E1"/>
    <w:rsid w:val="00DA68EA"/>
    <w:rsid w:val="00DF7FC6"/>
    <w:rsid w:val="00E10F2D"/>
    <w:rsid w:val="00E32284"/>
    <w:rsid w:val="00E32E6D"/>
    <w:rsid w:val="00E43347"/>
    <w:rsid w:val="00E50996"/>
    <w:rsid w:val="00E736D8"/>
    <w:rsid w:val="00E818FD"/>
    <w:rsid w:val="00E82307"/>
    <w:rsid w:val="00EB3C4A"/>
    <w:rsid w:val="00EC1695"/>
    <w:rsid w:val="00ED5625"/>
    <w:rsid w:val="00F132CC"/>
    <w:rsid w:val="00F14E6E"/>
    <w:rsid w:val="00F15D48"/>
    <w:rsid w:val="00F249F2"/>
    <w:rsid w:val="00F442D9"/>
    <w:rsid w:val="00FC207E"/>
    <w:rsid w:val="00FC21D0"/>
    <w:rsid w:val="00FE24D7"/>
    <w:rsid w:val="00FF3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C1A0"/>
  <w15:docId w15:val="{2D89EADB-D50B-4062-BDBF-97AFE2A5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4F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E6E"/>
    <w:pPr>
      <w:spacing w:after="0" w:line="240" w:lineRule="auto"/>
    </w:pPr>
  </w:style>
  <w:style w:type="character" w:styleId="Hyperlink">
    <w:name w:val="Hyperlink"/>
    <w:basedOn w:val="DefaultParagraphFont"/>
    <w:uiPriority w:val="99"/>
    <w:unhideWhenUsed/>
    <w:rsid w:val="00F14E6E"/>
    <w:rPr>
      <w:color w:val="0000FF" w:themeColor="hyperlink"/>
      <w:u w:val="single"/>
    </w:rPr>
  </w:style>
  <w:style w:type="character" w:styleId="FollowedHyperlink">
    <w:name w:val="FollowedHyperlink"/>
    <w:basedOn w:val="DefaultParagraphFont"/>
    <w:uiPriority w:val="99"/>
    <w:semiHidden/>
    <w:unhideWhenUsed/>
    <w:rsid w:val="00EC1695"/>
    <w:rPr>
      <w:color w:val="800080" w:themeColor="followedHyperlink"/>
      <w:u w:val="single"/>
    </w:rPr>
  </w:style>
  <w:style w:type="paragraph" w:styleId="Bibliography">
    <w:name w:val="Bibliography"/>
    <w:basedOn w:val="Normal"/>
    <w:next w:val="Normal"/>
    <w:uiPriority w:val="37"/>
    <w:unhideWhenUsed/>
    <w:rsid w:val="003614F4"/>
  </w:style>
  <w:style w:type="character" w:customStyle="1" w:styleId="Heading1Char">
    <w:name w:val="Heading 1 Char"/>
    <w:basedOn w:val="DefaultParagraphFont"/>
    <w:link w:val="Heading1"/>
    <w:uiPriority w:val="9"/>
    <w:rsid w:val="003614F4"/>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361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4F4"/>
    <w:rPr>
      <w:rFonts w:ascii="Tahoma" w:hAnsi="Tahoma" w:cs="Tahoma"/>
      <w:sz w:val="16"/>
      <w:szCs w:val="16"/>
    </w:rPr>
  </w:style>
  <w:style w:type="table" w:styleId="TableGrid">
    <w:name w:val="Table Grid"/>
    <w:basedOn w:val="TableNormal"/>
    <w:uiPriority w:val="59"/>
    <w:rsid w:val="00166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6D59"/>
    <w:rPr>
      <w:sz w:val="16"/>
      <w:szCs w:val="16"/>
    </w:rPr>
  </w:style>
  <w:style w:type="paragraph" w:styleId="CommentText">
    <w:name w:val="annotation text"/>
    <w:basedOn w:val="Normal"/>
    <w:link w:val="CommentTextChar"/>
    <w:uiPriority w:val="99"/>
    <w:semiHidden/>
    <w:unhideWhenUsed/>
    <w:rsid w:val="00C86D59"/>
    <w:pPr>
      <w:spacing w:line="240" w:lineRule="auto"/>
    </w:pPr>
    <w:rPr>
      <w:sz w:val="20"/>
      <w:szCs w:val="20"/>
    </w:rPr>
  </w:style>
  <w:style w:type="character" w:customStyle="1" w:styleId="CommentTextChar">
    <w:name w:val="Comment Text Char"/>
    <w:basedOn w:val="DefaultParagraphFont"/>
    <w:link w:val="CommentText"/>
    <w:uiPriority w:val="99"/>
    <w:semiHidden/>
    <w:rsid w:val="00C86D59"/>
    <w:rPr>
      <w:sz w:val="20"/>
      <w:szCs w:val="20"/>
    </w:rPr>
  </w:style>
  <w:style w:type="paragraph" w:styleId="CommentSubject">
    <w:name w:val="annotation subject"/>
    <w:basedOn w:val="CommentText"/>
    <w:next w:val="CommentText"/>
    <w:link w:val="CommentSubjectChar"/>
    <w:uiPriority w:val="99"/>
    <w:semiHidden/>
    <w:unhideWhenUsed/>
    <w:rsid w:val="00C86D59"/>
    <w:rPr>
      <w:b/>
      <w:bCs/>
    </w:rPr>
  </w:style>
  <w:style w:type="character" w:customStyle="1" w:styleId="CommentSubjectChar">
    <w:name w:val="Comment Subject Char"/>
    <w:basedOn w:val="CommentTextChar"/>
    <w:link w:val="CommentSubject"/>
    <w:uiPriority w:val="99"/>
    <w:semiHidden/>
    <w:rsid w:val="00C86D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80657">
      <w:bodyDiv w:val="1"/>
      <w:marLeft w:val="0"/>
      <w:marRight w:val="0"/>
      <w:marTop w:val="0"/>
      <w:marBottom w:val="0"/>
      <w:divBdr>
        <w:top w:val="none" w:sz="0" w:space="0" w:color="auto"/>
        <w:left w:val="none" w:sz="0" w:space="0" w:color="auto"/>
        <w:bottom w:val="none" w:sz="0" w:space="0" w:color="auto"/>
        <w:right w:val="none" w:sz="0" w:space="0" w:color="auto"/>
      </w:divBdr>
    </w:div>
    <w:div w:id="21331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wickens-farrell-2013-the-increasing-role-of-pharmacists-in-antimicrobial-stewardship-in-english-hospitals</b:Tag>
    <b:SourceType>JournalArticle</b:SourceType>
    <b:Title>The increasing role of pharmacists in antimicrobial stewardship in english hospitals</b:Title>
    <b:Year>2013</b:Year>
    <b:Author>
      <b:Author>
        <b:NameList>
          <b:Person>
            <b:First>H. J.</b:First>
            <b:Last>Wickens</b:Last>
          </b:Person>
          <b:Person>
            <b:First>S.</b:First>
            <b:Last>Farrell</b:Last>
          </b:Person>
          <b:Person>
            <b:First>D. A.I.</b:First>
            <b:Last>Ashiru-Oredope</b:Last>
          </b:Person>
          <b:Person>
            <b:First>A.</b:First>
            <b:Last>Jacklin</b:Last>
          </b:Person>
          <b:Person>
            <b:First>A.</b:First>
            <b:Last>Holmes</b:Last>
          </b:Person>
        </b:NameList>
      </b:Author>
    </b:Author>
    <b:JournalName>Journal of Antimicrobial Chemotherapy</b:JournalName>
    <b:Pages>2675-2681</b:Pages>
    <b:Volume>68</b:Volume>
    <b:Issue>11</b:Issue>
    <b:StandardNumber>10.1093/jac/dkt241</b:StandardNumber>
    <b:Month>11</b:Month>
    <b:RefOrder>14</b:RefOrder>
  </b:Source>
  <b:Source>
    <b:Tag>hand-2007-antibiotic-pharmacists-in-the-ascendancy</b:Tag>
    <b:SourceType>JournalArticle</b:SourceType>
    <b:Title>Antibiotic pharmacists in the ascendancy</b:Title>
    <b:Year>2007</b:Year>
    <b:Author>
      <b:Author>
        <b:NameList>
          <b:Person>
            <b:First>Kieran</b:First>
            <b:Last>Hand</b:Last>
          </b:Person>
        </b:NameList>
      </b:Author>
    </b:Author>
    <b:JournalName>Journal of Antimicrobial Chemotherapy</b:JournalName>
    <b:Volume>60</b:Volume>
    <b:Issue>SUPPL. 1</b:Issue>
    <b:StandardNumber>10.1093/jac/dkm163</b:StandardNumber>
    <b:Month>8</b:Month>
    <b:RefOrder>15</b:RefOrder>
  </b:Source>
  <b:Source>
    <b:Tag>cosgrove-2005-the-relationship-between-antimicrobial-resistance-and-patient-outcomes:-mortality,-length-of-hospital-stay,-and-health-care-costs</b:Tag>
    <b:SourceType>JournalArticle</b:SourceType>
    <b:Title>The Relationship between Antimicrobial Resistance and Patient Outcomes: Mortality, Length of Hospital Stay, and Health Care Costs</b:Title>
    <b:Year>2005</b:Year>
    <b:Author>
      <b:Author>
        <b:NameList>
          <b:Person>
            <b:First>Sara E.</b:First>
            <b:Last>Cosgrove</b:Last>
          </b:Person>
        </b:NameList>
      </b:Author>
    </b:Author>
    <b:JournalName>Clinical Infectious Diseases</b:JournalName>
    <b:Pages>S82-S89</b:Pages>
    <b:Volume>42</b:Volume>
    <b:Issue>Supplement_2</b:Issue>
    <b:StandardNumber>10.1086/499406</b:StandardNumber>
    <b:Publisher>Oxford University Press (OUP)</b:Publisher>
    <b:Month>12</b:Month>
    <b:Day>16</b:Day>
    <b:RefOrder>2</b:RefOrder>
  </b:Source>
  <b:Source>
    <b:Tag>castro-sánchez-drumright-2016-mapping-antimicrobial-stewardship-in-undergraduate-medical,-dental,-pharmacy,-nursing-and-veterinary-education-in-the-united-kingdom</b:Tag>
    <b:SourceType>JournalArticle</b:SourceType>
    <b:Title>Mapping Antimicrobial Stewardship in Undergraduate Medical, Dental, Pharmacy, Nursing and Veterinary Education in the United Kingdom</b:Title>
    <b:Year>2016</b:Year>
    <b:Author>
      <b:Author>
        <b:NameList>
          <b:Person>
            <b:First>Enrique</b:First>
            <b:Last>Castro-Sánchez</b:Last>
          </b:Person>
          <b:Person>
            <b:First>Lydia N.</b:First>
            <b:Last>Drumright</b:Last>
          </b:Person>
          <b:Person>
            <b:First>Myriam</b:First>
            <b:Last>Gharbi</b:Last>
          </b:Person>
          <b:Person>
            <b:First>Susan</b:First>
            <b:Last>Farrell</b:Last>
          </b:Person>
          <b:Person>
            <b:First>Alison H.</b:First>
            <b:Last>Holmes</b:Last>
          </b:Person>
        </b:NameList>
      </b:Author>
      <b:Editor>
        <b:NameList>
          <b:Person>
            <b:First>John</b:First>
            <b:Last>Panepinto</b:Last>
          </b:Person>
        </b:NameList>
      </b:Editor>
    </b:Author>
    <b:JournalName>PLOS ONE</b:JournalName>
    <b:Pages>e0150056</b:Pages>
    <b:Volume>11</b:Volume>
    <b:Issue>2</b:Issue>
    <b:StandardNumber>10.1371/journal.pone.0150056</b:StandardNumber>
    <b:Publisher>Public Library of Science</b:Publisher>
    <b:Month>2</b:Month>
    <b:Day>29</b:Day>
    <b:RefOrder>20</b:RefOrder>
  </b:Source>
  <b:Source>
    <b:Tag>eliopoulos-cosgrove-2003-the-impact-of-antimicrobial-resistance-on-health-and-economic-outcomes</b:Tag>
    <b:SourceType>JournalArticle</b:SourceType>
    <b:Title>The Impact of Antimicrobial Resistance on Health and Economic Outcomes</b:Title>
    <b:Year>2003</b:Year>
    <b:Author>
      <b:Author>
        <b:NameList>
          <b:Person>
            <b:First>George M.</b:First>
            <b:Last>Eliopoulos</b:Last>
          </b:Person>
          <b:Person>
            <b:First>Sara E.</b:First>
            <b:Last>Cosgrove</b:Last>
          </b:Person>
          <b:Person>
            <b:First>Yehuda</b:First>
            <b:Last>Carmeli</b:Last>
          </b:Person>
        </b:NameList>
      </b:Author>
    </b:Author>
    <b:JournalName>Clinical Infectious Diseases</b:JournalName>
    <b:Pages>1433-1437</b:Pages>
    <b:Volume>36</b:Volume>
    <b:Issue>11</b:Issue>
    <b:StandardNumber>10.1086/375081</b:StandardNumber>
    <b:Publisher>Narnia</b:Publisher>
    <b:Month>6</b:Month>
    <b:Day>1</b:Day>
    <b:RefOrder>1</b:RefOrder>
  </b:Source>
  <b:Source>
    <b:Tag>sundsfjord-steinbakk-2015-article-in-the-lancet-·</b:Tag>
    <b:SourceType>JournalArticle</b:SourceType>
    <b:Title>Article in The Lancet ·</b:Title>
    <b:Year>2015</b:Year>
    <b:Author>
      <b:Author>
        <b:NameList>
          <b:Person>
            <b:First>Arnfinn</b:First>
            <b:Last>Sundsfjord</b:Last>
          </b:Person>
          <b:Person>
            <b:First>Martin</b:First>
            <b:Last>Steinbakk</b:Last>
          </b:Person>
        </b:NameList>
      </b:Author>
    </b:Author>
    <b:StandardNumber>10.1016/S0140-6736(15)00473-0</b:StandardNumber>
    <b:RefOrder>4</b:RefOrder>
  </b:Source>
  <b:Source>
    <b:Tag>2018-english-surveillance-programme-for-antimicrobial-utilisation-and-resistance-(espaur)</b:Tag>
    <b:SourceType>Report</b:SourceType>
    <b:Title>English Surveillance Programme for Antimicrobial Utilisation and Resistance (ESPAUR)</b:Title>
    <b:Year>2018</b:Year>
    <b:Author/>
    <b:RefOrder>5</b:RefOrder>
  </b:Source>
  <b:Source>
    <b:Tag>smith-coast-2002-antimicrobial-resistance:-a-global-response</b:Tag>
    <b:SourceType>JournalArticle</b:SourceType>
    <b:Title>Antimicrobial resistance: a global response</b:Title>
    <b:Year>2002</b:Year>
    <b:Author>
      <b:Author>
        <b:NameList>
          <b:Person>
            <b:First>Richard D.</b:First>
            <b:Last>Smith</b:Last>
          </b:Person>
          <b:Person>
            <b:First>Joanna</b:First>
            <b:Last>Coast</b:Last>
          </b:Person>
        </b:NameList>
      </b:Author>
    </b:Author>
    <b:JournalName>Bulletin of the World Health Organization</b:JournalName>
    <b:Pages>126-133</b:Pages>
    <b:Volume>80</b:Volume>
    <b:StandardNumber>10.1590/S0042-96862002000200008</b:StandardNumber>
    <b:Publisher>World Health Organization</b:Publisher>
    <b:RefOrder>3</b:RefOrder>
  </b:Source>
  <b:Source>
    <b:Tag>gilchrist-wade-2015-antimicrobial-stewardship-from-policy-to-practice:-experiences-from-uk-antimicrobial-pharmacists</b:Tag>
    <b:SourceType>JournalArticle</b:SourceType>
    <b:Title>Antimicrobial Stewardship from Policy to Practice: Experiences from UK Antimicrobial Pharmacists</b:Title>
    <b:Year>2015</b:Year>
    <b:Author>
      <b:Author>
        <b:NameList>
          <b:Person>
            <b:First>Mark</b:First>
            <b:Last>Gilchrist</b:Last>
          </b:Person>
          <b:Person>
            <b:First>Paul</b:First>
            <b:Last>Wade</b:Last>
          </b:Person>
          <b:Person>
            <b:First>Diane</b:First>
            <b:Last>Ashiru-Oredope</b:Last>
          </b:Person>
          <b:Person>
            <b:First>Philip</b:First>
            <b:Last>Howard</b:Last>
          </b:Person>
          <b:Person>
            <b:First>Jacqueline</b:First>
            <b:Last>Sneddon</b:Last>
          </b:Person>
          <b:Person>
            <b:First>Laura</b:First>
            <b:Last>Whitney</b:Last>
          </b:Person>
          <b:Person>
            <b:First>Hayley</b:First>
            <b:Last>Wickens</b:Last>
          </b:Person>
        </b:NameList>
      </b:Author>
    </b:Author>
    <b:JournalName>Infectious Diseases and Therapy</b:JournalName>
    <b:Pages>51-64</b:Pages>
    <b:Volume>4</b:Volume>
    <b:Issue>S1</b:Issue>
    <b:StandardNumber>10.1007/s40121-015-0080-z</b:StandardNumber>
    <b:Publisher>Springer Healthcare</b:Publisher>
    <b:Month>9</b:Month>
    <b:Day>11</b:Day>
    <b:RefOrder>16</b:RefOrder>
  </b:Source>
  <b:Source>
    <b:Tag>quality-premium:-2015/16-guidance-for-ccgs</b:Tag>
    <b:SourceType>Report</b:SourceType>
    <b:Title>Quality Premium: 2015/16 guidance for CCGs</b:Title>
    <b:Author/>
    <b:RefOrder>6</b:RefOrder>
  </b:Source>
  <b:Source>
    <b:Tag>johnson-ashiru-oredope-2015-antibiotic-stewardship-initiatives-as-part-of-the-uk-5-year-antimicrobial-resistance-strategy.</b:Tag>
    <b:SourceType>JournalArticle</b:SourceType>
    <b:Title>Antibiotic Stewardship Initiatives as Part of the UK 5-Year Antimicrobial Resistance Strategy.</b:Title>
    <b:Year>2015</b:Year>
    <b:Author>
      <b:Author>
        <b:NameList>
          <b:Person>
            <b:First>Alan P</b:First>
            <b:Last>Johnson</b:Last>
          </b:Person>
          <b:Person>
            <b:First>Diane</b:First>
            <b:Last>Ashiru-Oredope</b:Last>
          </b:Person>
          <b:Person>
            <b:First>Elizabeth</b:First>
            <b:Last>Beech</b:Last>
          </b:Person>
        </b:NameList>
      </b:Author>
    </b:Author>
    <b:JournalName>Antibiotics (Basel, Switzerland)</b:JournalName>
    <b:Pages>467-79</b:Pages>
    <b:Volume>4</b:Volume>
    <b:Issue>4</b:Issue>
    <b:StandardNumber>10.3390/antibiotics4040467</b:StandardNumber>
    <b:Publisher>Multidisciplinary Digital Publishing Institute  (MDPI)</b:Publisher>
    <b:Month>10</b:Month>
    <b:Day>30</b:Day>
    <b:RefOrder>7</b:RefOrder>
  </b:Source>
  <b:Source>
    <b:Tag>2015-behaviour-change-and-antibiotic-prescribing-in-healthcare-settings-literature-review-and-behavioural-analysis</b:Tag>
    <b:SourceType>Report</b:SourceType>
    <b:Title>Behaviour change and antibiotic prescribing in healthcare settings Literature review and behavioural analysis</b:Title>
    <b:Year>2015</b:Year>
    <b:Author/>
    <b:RefOrder>18</b:RefOrder>
  </b:Source>
  <b:Source>
    <b:Tag>2019-the-uk's-five-year-national-action-plan</b:Tag>
    <b:SourceType>Report</b:SourceType>
    <b:Title>The UK's five-year national action plan</b:Title>
    <b:Year>2019</b:Year>
    <b:Author/>
    <b:RefOrder>8</b:RefOrder>
  </b:Source>
  <b:Source>
    <b:Tag>2019-investment-and-evolution:-a-five-year-framework-for-gp-contract-reform-to-implement-the-nhs-long-term-plan</b:Tag>
    <b:SourceType>Report</b:SourceType>
    <b:Title>Investment and evolution: A five-year framework for GP contract reform to implement The NHS Long Term Plan</b:Title>
    <b:Year>2019</b:Year>
    <b:Author/>
    <b:RefOrder>9</b:RefOrder>
  </b:Source>
  <b:Source>
    <b:Tag>nhs-england-»-clinical-pharmacists-vital-to-patient-care-in-five-year-gp-deal</b:Tag>
    <b:SourceType>InternetSite</b:SourceType>
    <b:Title>NHS England » Clinical pharmacists vital to patient care in five-year GP deal</b:Title>
    <b:Author/>
    <b:URL>https://www.england.nhs.uk/2019/01/clinical-pharmacists-vital-to-patient-care-in-five-year-gp-deal/</b:URL>
    <b:RefOrder>19</b:RefOrder>
  </b:Source>
  <b:Source>
    <b:Tag>technical-guidance-annex-b-information-on-quality-premium</b:Tag>
    <b:SourceType>Report</b:SourceType>
    <b:Title>Technical Guidance Annex B Information on Quality Premium</b:Title>
    <b:Author/>
    <b:RefOrder>11</b:RefOrder>
  </b:Source>
  <b:Source>
    <b:Tag>2016-general-practice-forward-view</b:Tag>
    <b:SourceType>Report</b:SourceType>
    <b:Title>GENERAL PRACTICE FORWARD VIEW</b:Title>
    <b:Year>2016</b:Year>
    <b:Author/>
    <b:RefOrder>10</b:RefOrder>
  </b:Source>
  <b:Source>
    <b:Tag>courtenay-gillespie-2017-patterns-of-dispensed-non-medical-prescriber-prescriptions-for-antibiotics-in-primary-care-across-england:-a-retrospective-analysis</b:Tag>
    <b:SourceType>JournalArticle</b:SourceType>
    <b:Title>Patterns of dispensed non-medical prescriber prescriptions for antibiotics in primary care across England: a retrospective analysis</b:Title>
    <b:Year>2017</b:Year>
    <b:Author>
      <b:Author>
        <b:NameList>
          <b:Person>
            <b:First>Molly</b:First>
            <b:Last>Courtenay</b:Last>
          </b:Person>
          <b:Person>
            <b:First>David</b:First>
            <b:Last>Gillespie</b:Last>
          </b:Person>
          <b:Person>
            <b:First>Rosemary</b:First>
            <b:Last>Lim</b:Last>
          </b:Person>
        </b:NameList>
      </b:Author>
    </b:Author>
    <b:JournalName>Journal of Antimicrobial Chemotherapy</b:JournalName>
    <b:Pages>2915-2920</b:Pages>
    <b:Volume>72</b:Volume>
    <b:Issue>10</b:Issue>
    <b:StandardNumber>10.1093/jac/dkx230</b:StandardNumber>
    <b:Publisher>Narnia</b:Publisher>
    <b:Month>10</b:Month>
    <b:Day>1</b:Day>
    <b:RefOrder>12</b:RefOrder>
  </b:Source>
  <b:Source>
    <b:Tag>2018-pharmacy’s-role-in-antimicrobial-resistance-and-stewardship</b:Tag>
    <b:SourceType>JournalArticle</b:SourceType>
    <b:Title>Pharmacy’s role in antimicrobial resistance and stewardship</b:Title>
    <b:Year>2018</b:Year>
    <b:Author/>
    <b:JournalName>Clinical Pharmacist</b:JournalName>
    <b:StandardNumber>10.1211/CP.2018.20204885</b:StandardNumber>
    <b:RefOrder>17</b:RefOrder>
  </b:Source>
  <b:Source>
    <b:Tag>mann-anderson-2018-clinical-pharmacists-in-general-practice:-pilot-scheme-independent-evaluation-report:-full-report-national-evaluation-of-clinical-pharmacists-in-gp-practices-(pilot-phase)-|-1</b:Tag>
    <b:SourceType>Report</b:SourceType>
    <b:Title>Clinical Pharmacists in General Practice: Pilot scheme Independent Evaluation Report: Full Report National Evaluation of Clinical Pharmacists in GP Practices (Pilot Phase) | 1</b:Title>
    <b:Year>2018</b:Year>
    <b:Author>
      <b:Author>
        <b:NameList>
          <b:Person>
            <b:First>Claire</b:First>
            <b:Last>Mann</b:Last>
          </b:Person>
          <b:Person>
            <b:First>Claire</b:First>
            <b:Last>Anderson</b:Last>
          </b:Person>
          <b:Person>
            <b:First>Anthony J</b:First>
            <b:Last>Avery</b:Last>
          </b:Person>
          <b:Person>
            <b:First>Justin</b:First>
            <b:Last>Waring</b:Last>
          </b:Person>
          <b:Person>
            <b:First>Matthew J</b:First>
            <b:Last>Boyd</b:Last>
          </b:Person>
        </b:NameList>
      </b:Author>
    </b:Author>
    <b:RefOrder>13</b:RefOrder>
  </b:Source>
</b:Sources>
</file>

<file path=customXml/itemProps1.xml><?xml version="1.0" encoding="utf-8"?>
<ds:datastoreItem xmlns:ds="http://schemas.openxmlformats.org/officeDocument/2006/customXml" ds:itemID="{909657EC-53C2-4D18-A37B-A2B681C7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2133</Words>
  <Characters>12160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Amanda Busby</cp:lastModifiedBy>
  <cp:revision>2</cp:revision>
  <cp:lastPrinted>2019-04-25T08:26:00Z</cp:lastPrinted>
  <dcterms:created xsi:type="dcterms:W3CDTF">2019-05-01T13:15:00Z</dcterms:created>
  <dcterms:modified xsi:type="dcterms:W3CDTF">2019-05-01T13:15:00Z</dcterms:modified>
</cp:coreProperties>
</file>